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D6" w:rsidRPr="00E55BDC" w:rsidRDefault="00D979D6" w:rsidP="00BF7DEA">
      <w:pPr>
        <w:spacing w:before="0" w:line="276" w:lineRule="auto"/>
        <w:ind w:left="5103"/>
        <w:jc w:val="center"/>
        <w:rPr>
          <w:b/>
          <w:lang w:val="uk-UA"/>
        </w:rPr>
      </w:pPr>
      <w:r w:rsidRPr="00E55BDC">
        <w:rPr>
          <w:b/>
          <w:lang w:val="uk-UA"/>
        </w:rPr>
        <w:t>ЗАТВЕРДЖЕНО</w:t>
      </w:r>
    </w:p>
    <w:p w:rsidR="00D979D6" w:rsidRPr="00E55BDC" w:rsidRDefault="00D979D6" w:rsidP="00BF7DEA">
      <w:pPr>
        <w:spacing w:before="0" w:line="276" w:lineRule="auto"/>
        <w:ind w:left="5103"/>
        <w:jc w:val="center"/>
        <w:rPr>
          <w:lang w:val="uk-UA"/>
        </w:rPr>
      </w:pPr>
      <w:r w:rsidRPr="00E55BDC">
        <w:rPr>
          <w:lang w:val="uk-UA"/>
        </w:rPr>
        <w:t>Рішення Загальних зборів акціонерів</w:t>
      </w:r>
    </w:p>
    <w:p w:rsidR="00D979D6" w:rsidRPr="005F0BCA" w:rsidRDefault="00D979D6" w:rsidP="00BF7DEA">
      <w:pPr>
        <w:spacing w:before="0" w:line="276" w:lineRule="auto"/>
        <w:ind w:left="5103"/>
        <w:jc w:val="center"/>
      </w:pPr>
      <w:r w:rsidRPr="00E55BDC">
        <w:rPr>
          <w:lang w:val="uk-UA"/>
        </w:rPr>
        <w:t xml:space="preserve">Приватного акціонерного товариства «Страхові гарантії України» </w:t>
      </w:r>
    </w:p>
    <w:p w:rsidR="00715461" w:rsidRPr="009D37B2" w:rsidRDefault="00715461" w:rsidP="00BF7DEA">
      <w:pPr>
        <w:spacing w:before="0" w:line="276" w:lineRule="auto"/>
        <w:ind w:left="5103"/>
        <w:jc w:val="center"/>
      </w:pPr>
      <w:r w:rsidRPr="00E55BDC">
        <w:rPr>
          <w:lang w:val="uk-UA"/>
        </w:rPr>
        <w:t>від «</w:t>
      </w:r>
      <w:r w:rsidR="0014664E">
        <w:rPr>
          <w:lang w:val="uk-UA"/>
        </w:rPr>
        <w:t>05</w:t>
      </w:r>
      <w:r w:rsidRPr="00E55BDC">
        <w:rPr>
          <w:lang w:val="uk-UA"/>
        </w:rPr>
        <w:t xml:space="preserve">» </w:t>
      </w:r>
      <w:r w:rsidR="0014664E">
        <w:rPr>
          <w:lang w:val="uk-UA"/>
        </w:rPr>
        <w:t>чер</w:t>
      </w:r>
      <w:r w:rsidR="00FD7D4D">
        <w:rPr>
          <w:lang w:val="uk-UA"/>
        </w:rPr>
        <w:t>вня</w:t>
      </w:r>
      <w:r w:rsidRPr="00E55BDC">
        <w:rPr>
          <w:lang w:val="uk-UA"/>
        </w:rPr>
        <w:t xml:space="preserve"> 202</w:t>
      </w:r>
      <w:r w:rsidR="00FD7D4D">
        <w:rPr>
          <w:lang w:val="uk-UA"/>
        </w:rPr>
        <w:t>4</w:t>
      </w:r>
      <w:r w:rsidRPr="00E55BDC">
        <w:rPr>
          <w:lang w:val="uk-UA"/>
        </w:rPr>
        <w:t xml:space="preserve"> року</w:t>
      </w:r>
    </w:p>
    <w:p w:rsidR="00D979D6" w:rsidRDefault="00D979D6" w:rsidP="00BF7DEA">
      <w:pPr>
        <w:spacing w:before="0" w:line="276" w:lineRule="auto"/>
        <w:ind w:left="5103"/>
        <w:jc w:val="center"/>
        <w:rPr>
          <w:lang w:val="uk-UA"/>
        </w:rPr>
      </w:pPr>
      <w:r w:rsidRPr="00E55BDC">
        <w:rPr>
          <w:lang w:val="uk-UA"/>
        </w:rPr>
        <w:t xml:space="preserve">Протокол № </w:t>
      </w:r>
      <w:r w:rsidR="00FD7D4D">
        <w:rPr>
          <w:lang w:val="uk-UA"/>
        </w:rPr>
        <w:t>32</w:t>
      </w:r>
      <w:r w:rsidRPr="00E55BDC">
        <w:rPr>
          <w:lang w:val="uk-UA"/>
        </w:rPr>
        <w:t xml:space="preserve"> від «</w:t>
      </w:r>
      <w:r w:rsidR="0014664E">
        <w:rPr>
          <w:lang w:val="uk-UA"/>
        </w:rPr>
        <w:t>05</w:t>
      </w:r>
      <w:r w:rsidRPr="00E55BDC">
        <w:rPr>
          <w:lang w:val="uk-UA"/>
        </w:rPr>
        <w:t xml:space="preserve">» </w:t>
      </w:r>
      <w:r w:rsidR="0014664E">
        <w:rPr>
          <w:lang w:val="uk-UA"/>
        </w:rPr>
        <w:t>чер</w:t>
      </w:r>
      <w:r w:rsidR="00FD7D4D">
        <w:rPr>
          <w:lang w:val="uk-UA"/>
        </w:rPr>
        <w:t>вня</w:t>
      </w:r>
      <w:r w:rsidR="00715461" w:rsidRPr="00E55BDC">
        <w:rPr>
          <w:lang w:val="uk-UA"/>
        </w:rPr>
        <w:t xml:space="preserve"> </w:t>
      </w:r>
      <w:r w:rsidRPr="00E55BDC">
        <w:rPr>
          <w:lang w:val="uk-UA"/>
        </w:rPr>
        <w:t>20</w:t>
      </w:r>
      <w:r w:rsidR="00553A72" w:rsidRPr="00E55BDC">
        <w:rPr>
          <w:lang w:val="uk-UA"/>
        </w:rPr>
        <w:t>2</w:t>
      </w:r>
      <w:r w:rsidR="00FD7D4D">
        <w:rPr>
          <w:lang w:val="uk-UA"/>
        </w:rPr>
        <w:t>4</w:t>
      </w:r>
      <w:r w:rsidRPr="00E55BDC">
        <w:rPr>
          <w:lang w:val="uk-UA"/>
        </w:rPr>
        <w:t xml:space="preserve"> року</w:t>
      </w:r>
    </w:p>
    <w:p w:rsidR="00FD7D4D" w:rsidRDefault="00FD7D4D" w:rsidP="00BF7DEA">
      <w:pPr>
        <w:spacing w:before="0" w:line="276" w:lineRule="auto"/>
        <w:ind w:left="5103"/>
        <w:jc w:val="center"/>
        <w:rPr>
          <w:lang w:val="uk-UA"/>
        </w:rPr>
      </w:pPr>
    </w:p>
    <w:p w:rsidR="00FD7D4D" w:rsidRPr="00E55BDC" w:rsidRDefault="00FD7D4D" w:rsidP="00BF7DEA">
      <w:pPr>
        <w:spacing w:before="0" w:line="276" w:lineRule="auto"/>
        <w:ind w:left="5103"/>
        <w:jc w:val="center"/>
        <w:rPr>
          <w:lang w:val="uk-UA"/>
        </w:rPr>
      </w:pPr>
      <w:r>
        <w:rPr>
          <w:lang w:val="uk-UA"/>
        </w:rPr>
        <w:t>Голова правління _________ Гусєва І.О.</w:t>
      </w:r>
    </w:p>
    <w:p w:rsidR="00D979D6" w:rsidRPr="00E55BDC" w:rsidRDefault="00D979D6" w:rsidP="00BF7DEA">
      <w:pPr>
        <w:spacing w:before="0" w:line="276" w:lineRule="auto"/>
        <w:jc w:val="center"/>
        <w:rPr>
          <w:lang w:val="uk-UA"/>
        </w:rPr>
      </w:pPr>
    </w:p>
    <w:p w:rsidR="00D979D6" w:rsidRPr="00E55BDC" w:rsidRDefault="00D979D6" w:rsidP="00BF7DEA">
      <w:pPr>
        <w:spacing w:before="0" w:line="276" w:lineRule="auto"/>
        <w:jc w:val="center"/>
        <w:rPr>
          <w:lang w:val="uk-UA"/>
        </w:rPr>
      </w:pPr>
    </w:p>
    <w:p w:rsidR="00D979D6" w:rsidRPr="00E55BDC" w:rsidRDefault="00D979D6" w:rsidP="00BF7DEA">
      <w:pPr>
        <w:spacing w:before="0" w:line="276" w:lineRule="auto"/>
        <w:jc w:val="center"/>
        <w:rPr>
          <w:lang w:val="uk-UA"/>
        </w:rPr>
      </w:pPr>
    </w:p>
    <w:p w:rsidR="00D979D6" w:rsidRPr="00E55BDC" w:rsidRDefault="00D979D6" w:rsidP="00BF7DEA">
      <w:pPr>
        <w:spacing w:before="0" w:line="276" w:lineRule="auto"/>
        <w:jc w:val="center"/>
        <w:rPr>
          <w:lang w:val="uk-UA"/>
        </w:rPr>
      </w:pPr>
    </w:p>
    <w:p w:rsidR="00D979D6" w:rsidRPr="00E55BDC" w:rsidRDefault="00D979D6" w:rsidP="00BF7DEA">
      <w:pPr>
        <w:spacing w:before="0" w:line="276" w:lineRule="auto"/>
        <w:jc w:val="center"/>
        <w:rPr>
          <w:lang w:val="uk-UA"/>
        </w:rPr>
      </w:pPr>
    </w:p>
    <w:p w:rsidR="00D979D6" w:rsidRPr="00E55BDC" w:rsidRDefault="00D979D6" w:rsidP="00BF7DEA">
      <w:pPr>
        <w:spacing w:before="0" w:line="276" w:lineRule="auto"/>
        <w:jc w:val="center"/>
        <w:rPr>
          <w:lang w:val="uk-UA"/>
        </w:rPr>
      </w:pPr>
    </w:p>
    <w:p w:rsidR="00D979D6" w:rsidRPr="00E55BDC" w:rsidRDefault="00D979D6" w:rsidP="00BF7DEA">
      <w:pPr>
        <w:spacing w:before="0" w:line="276" w:lineRule="auto"/>
        <w:jc w:val="center"/>
        <w:rPr>
          <w:lang w:val="uk-UA"/>
        </w:rPr>
      </w:pPr>
    </w:p>
    <w:p w:rsidR="00D979D6" w:rsidRPr="00E55BDC" w:rsidRDefault="00C561A9" w:rsidP="00BF7DEA">
      <w:pPr>
        <w:spacing w:before="0" w:line="276" w:lineRule="auto"/>
        <w:jc w:val="center"/>
        <w:rPr>
          <w:b/>
          <w:sz w:val="50"/>
          <w:szCs w:val="50"/>
          <w:lang w:val="uk-UA"/>
        </w:rPr>
      </w:pPr>
      <w:r>
        <w:rPr>
          <w:b/>
          <w:sz w:val="50"/>
          <w:szCs w:val="50"/>
          <w:lang w:val="uk-UA"/>
        </w:rPr>
        <w:t>ПОЛОЖЕННЯ ПРО</w:t>
      </w:r>
      <w:r w:rsidR="008F3D75">
        <w:rPr>
          <w:b/>
          <w:sz w:val="50"/>
          <w:szCs w:val="50"/>
          <w:lang w:val="uk-UA"/>
        </w:rPr>
        <w:t xml:space="preserve"> ВИНАГОРОД</w:t>
      </w:r>
      <w:r>
        <w:rPr>
          <w:b/>
          <w:sz w:val="50"/>
          <w:szCs w:val="50"/>
          <w:lang w:val="uk-UA"/>
        </w:rPr>
        <w:t xml:space="preserve">У </w:t>
      </w:r>
      <w:r w:rsidR="00A97CBB">
        <w:rPr>
          <w:b/>
          <w:sz w:val="50"/>
          <w:szCs w:val="50"/>
          <w:lang w:val="uk-UA"/>
        </w:rPr>
        <w:t xml:space="preserve">членів </w:t>
      </w:r>
      <w:r>
        <w:rPr>
          <w:b/>
          <w:sz w:val="50"/>
          <w:szCs w:val="50"/>
          <w:lang w:val="uk-UA"/>
        </w:rPr>
        <w:t>ПРАВЛІННЯ</w:t>
      </w:r>
      <w:r w:rsidR="00A97CBB">
        <w:rPr>
          <w:b/>
          <w:sz w:val="50"/>
          <w:szCs w:val="50"/>
          <w:lang w:val="uk-UA"/>
        </w:rPr>
        <w:t xml:space="preserve"> та ключових осіб</w:t>
      </w:r>
    </w:p>
    <w:p w:rsidR="00D979D6" w:rsidRPr="00E55BDC" w:rsidRDefault="00D979D6" w:rsidP="00BF7DEA">
      <w:pPr>
        <w:spacing w:before="0" w:line="276" w:lineRule="auto"/>
        <w:jc w:val="center"/>
        <w:rPr>
          <w:b/>
          <w:sz w:val="50"/>
          <w:szCs w:val="50"/>
          <w:lang w:val="uk-UA"/>
        </w:rPr>
      </w:pPr>
    </w:p>
    <w:p w:rsidR="00D979D6" w:rsidRPr="00E55BDC" w:rsidRDefault="00D979D6" w:rsidP="00BF7DEA">
      <w:pPr>
        <w:spacing w:before="0" w:line="276" w:lineRule="auto"/>
        <w:jc w:val="center"/>
        <w:rPr>
          <w:b/>
          <w:sz w:val="40"/>
          <w:szCs w:val="40"/>
          <w:lang w:val="uk-UA"/>
        </w:rPr>
      </w:pPr>
      <w:r w:rsidRPr="00E55BDC">
        <w:rPr>
          <w:b/>
          <w:sz w:val="40"/>
          <w:szCs w:val="40"/>
          <w:lang w:val="uk-UA"/>
        </w:rPr>
        <w:t>ПРИВАТНОГО АКЦІОНЕРНОГО ТОВАРИСТВА</w:t>
      </w:r>
    </w:p>
    <w:p w:rsidR="00D979D6" w:rsidRPr="00E55BDC" w:rsidRDefault="00D979D6" w:rsidP="00BF7DEA">
      <w:pPr>
        <w:spacing w:before="0" w:line="276" w:lineRule="auto"/>
        <w:jc w:val="center"/>
        <w:rPr>
          <w:b/>
          <w:sz w:val="40"/>
          <w:szCs w:val="40"/>
          <w:lang w:val="uk-UA"/>
        </w:rPr>
      </w:pPr>
      <w:r w:rsidRPr="00E55BDC">
        <w:rPr>
          <w:b/>
          <w:sz w:val="56"/>
          <w:szCs w:val="56"/>
          <w:lang w:val="uk-UA"/>
        </w:rPr>
        <w:t>«СТРАХОВІ ГАРАНТІЇ УКРАЇНИ»</w:t>
      </w:r>
    </w:p>
    <w:p w:rsidR="00D979D6" w:rsidRPr="00E55BDC" w:rsidRDefault="00D979D6" w:rsidP="00BF7DEA">
      <w:pPr>
        <w:spacing w:before="0" w:line="276" w:lineRule="auto"/>
        <w:jc w:val="center"/>
        <w:rPr>
          <w:b/>
          <w:sz w:val="50"/>
          <w:szCs w:val="50"/>
          <w:lang w:val="uk-UA"/>
        </w:rPr>
      </w:pPr>
    </w:p>
    <w:p w:rsidR="00D979D6" w:rsidRPr="00E55BDC" w:rsidRDefault="00D979D6" w:rsidP="00BF7DEA">
      <w:pPr>
        <w:spacing w:before="0" w:line="276" w:lineRule="auto"/>
        <w:jc w:val="center"/>
        <w:rPr>
          <w:b/>
          <w:sz w:val="50"/>
          <w:szCs w:val="50"/>
          <w:lang w:val="uk-UA"/>
        </w:rPr>
        <w:sectPr w:rsidR="00D979D6" w:rsidRPr="00E55BDC" w:rsidSect="0099736F">
          <w:headerReference w:type="default" r:id="rId7"/>
          <w:footerReference w:type="default" r:id="rId8"/>
          <w:footerReference w:type="first" r:id="rId9"/>
          <w:pgSz w:w="11906" w:h="16838"/>
          <w:pgMar w:top="1134" w:right="850" w:bottom="1134" w:left="1276" w:header="708" w:footer="820" w:gutter="0"/>
          <w:cols w:space="708"/>
          <w:titlePg/>
          <w:docGrid w:linePitch="360"/>
        </w:sectPr>
      </w:pPr>
    </w:p>
    <w:p w:rsidR="00D979D6" w:rsidRPr="005F0BCA" w:rsidRDefault="00D979D6" w:rsidP="00BF7DEA">
      <w:pPr>
        <w:pStyle w:val="a7"/>
        <w:numPr>
          <w:ilvl w:val="0"/>
          <w:numId w:val="1"/>
        </w:numPr>
        <w:spacing w:before="0" w:line="276" w:lineRule="auto"/>
        <w:contextualSpacing w:val="0"/>
        <w:jc w:val="both"/>
        <w:rPr>
          <w:b/>
          <w:lang w:val="uk-UA"/>
        </w:rPr>
      </w:pPr>
      <w:r w:rsidRPr="005F0BCA">
        <w:rPr>
          <w:b/>
          <w:lang w:val="uk-UA"/>
        </w:rPr>
        <w:lastRenderedPageBreak/>
        <w:t>ЗАГАЛЬНІ ПОЛОЖЕННЯ</w:t>
      </w:r>
    </w:p>
    <w:p w:rsidR="005F0BCA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iCs/>
          <w:szCs w:val="22"/>
          <w:lang w:val="uk-UA"/>
        </w:rPr>
        <w:t xml:space="preserve">Це </w:t>
      </w:r>
      <w:r w:rsidR="003A19B5">
        <w:rPr>
          <w:iCs/>
          <w:szCs w:val="22"/>
          <w:lang w:val="uk-UA"/>
        </w:rPr>
        <w:t>Пол</w:t>
      </w:r>
      <w:r w:rsidR="00A97CBB">
        <w:rPr>
          <w:iCs/>
          <w:szCs w:val="22"/>
          <w:lang w:val="uk-UA"/>
        </w:rPr>
        <w:t xml:space="preserve">оження про винагороду членів Правління та ключових осіб </w:t>
      </w:r>
      <w:r w:rsidRPr="005F0BCA">
        <w:rPr>
          <w:bCs/>
          <w:iCs/>
        </w:rPr>
        <w:t>ПРИВАТНОГО АКЦІОНЕРНОГО ТОВАРИСТВА</w:t>
      </w:r>
      <w:r w:rsidRPr="005F0BCA">
        <w:rPr>
          <w:b/>
          <w:bCs/>
          <w:iCs/>
        </w:rPr>
        <w:t xml:space="preserve"> </w:t>
      </w:r>
      <w:r w:rsidRPr="005F0BCA">
        <w:rPr>
          <w:iCs/>
        </w:rPr>
        <w:t>«</w:t>
      </w:r>
      <w:r w:rsidRPr="005F0BCA">
        <w:rPr>
          <w:lang w:val="uk-UA"/>
        </w:rPr>
        <w:t>СТРАХОВІ ГАРАНТІЇ УКРАЇНИ</w:t>
      </w:r>
      <w:r w:rsidRPr="005F0BCA">
        <w:rPr>
          <w:bCs/>
          <w:iCs/>
        </w:rPr>
        <w:t>»</w:t>
      </w:r>
      <w:r w:rsidRPr="005F0BCA">
        <w:rPr>
          <w:iCs/>
          <w:szCs w:val="22"/>
          <w:lang w:val="uk-UA"/>
        </w:rPr>
        <w:t xml:space="preserve"> (далі – </w:t>
      </w:r>
      <w:r w:rsidR="00A97CBB">
        <w:rPr>
          <w:iCs/>
          <w:szCs w:val="22"/>
          <w:lang w:val="uk-UA"/>
        </w:rPr>
        <w:t>Положення</w:t>
      </w:r>
      <w:r w:rsidRPr="005F0BCA">
        <w:rPr>
          <w:iCs/>
          <w:szCs w:val="22"/>
          <w:lang w:val="uk-UA"/>
        </w:rPr>
        <w:t xml:space="preserve">)  </w:t>
      </w:r>
      <w:r w:rsidRPr="005F0BCA">
        <w:rPr>
          <w:snapToGrid w:val="0"/>
          <w:lang w:val="uk-UA"/>
        </w:rPr>
        <w:t>розроблен</w:t>
      </w:r>
      <w:r w:rsidR="00A97CBB">
        <w:rPr>
          <w:snapToGrid w:val="0"/>
          <w:lang w:val="uk-UA"/>
        </w:rPr>
        <w:t>о</w:t>
      </w:r>
      <w:r w:rsidRPr="005F0BCA">
        <w:rPr>
          <w:snapToGrid w:val="0"/>
          <w:lang w:val="uk-UA"/>
        </w:rPr>
        <w:t xml:space="preserve"> відповідно до вимог чинного законодавства України та внутрішніх документів </w:t>
      </w:r>
      <w:r w:rsidR="00567AC9" w:rsidRPr="003A19B5">
        <w:rPr>
          <w:bCs/>
          <w:iCs/>
        </w:rPr>
        <w:t>ПРИВАТНОГО АКЦІОНЕРНОГО ТОВАРИСТВА</w:t>
      </w:r>
      <w:r w:rsidR="00567AC9" w:rsidRPr="003A19B5">
        <w:rPr>
          <w:b/>
          <w:bCs/>
          <w:iCs/>
        </w:rPr>
        <w:t xml:space="preserve"> </w:t>
      </w:r>
      <w:r w:rsidR="00567AC9" w:rsidRPr="003A19B5">
        <w:rPr>
          <w:iCs/>
        </w:rPr>
        <w:t>«</w:t>
      </w:r>
      <w:r w:rsidR="00567AC9" w:rsidRPr="003A19B5">
        <w:rPr>
          <w:lang w:val="uk-UA"/>
        </w:rPr>
        <w:t>СТРАХОВІ ГАРАНТІЇ УКРАЇНИ</w:t>
      </w:r>
      <w:r w:rsidR="00567AC9" w:rsidRPr="003A19B5">
        <w:rPr>
          <w:bCs/>
          <w:iCs/>
        </w:rPr>
        <w:t>»</w:t>
      </w:r>
      <w:r w:rsidR="00567AC9" w:rsidRPr="003A19B5">
        <w:rPr>
          <w:iCs/>
          <w:szCs w:val="22"/>
          <w:lang w:val="uk-UA"/>
        </w:rPr>
        <w:t xml:space="preserve"> (далі – Товариство)</w:t>
      </w:r>
      <w:r w:rsidRPr="005F0BCA">
        <w:rPr>
          <w:snapToGrid w:val="0"/>
          <w:lang w:val="uk-UA"/>
        </w:rPr>
        <w:t xml:space="preserve">, зокрема </w:t>
      </w:r>
      <w:r w:rsidRPr="005F0BCA">
        <w:rPr>
          <w:lang w:val="uk-UA"/>
        </w:rPr>
        <w:t xml:space="preserve">Закону України «Про акціонерні товариства», </w:t>
      </w:r>
      <w:r w:rsidR="003A19B5">
        <w:rPr>
          <w:lang w:val="uk-UA"/>
        </w:rPr>
        <w:t xml:space="preserve">Закону України «Про страхування», </w:t>
      </w:r>
      <w:r w:rsidRPr="003A19B5">
        <w:rPr>
          <w:snapToGrid w:val="0"/>
          <w:lang w:val="uk-UA"/>
        </w:rPr>
        <w:t xml:space="preserve">Положенню </w:t>
      </w:r>
      <w:r w:rsidR="003A19B5" w:rsidRPr="003A19B5">
        <w:rPr>
          <w:snapToGrid w:val="0"/>
          <w:lang w:val="uk-UA"/>
        </w:rPr>
        <w:t>про вимоги до системи управління страховика, що затверджено Постановою Правління Національного банку України від 29.12.2023р. №194 (далі – Положення № 194)</w:t>
      </w:r>
      <w:r w:rsidRPr="003A19B5">
        <w:rPr>
          <w:snapToGrid w:val="0"/>
          <w:lang w:val="uk-UA"/>
        </w:rPr>
        <w:t>, Кодексу законів про працю України, Цивільного кодексу</w:t>
      </w:r>
      <w:r w:rsidRPr="005F0BCA">
        <w:rPr>
          <w:lang w:val="uk-UA"/>
        </w:rPr>
        <w:t xml:space="preserve"> України, нормативно-правових актів Національного банку України, інших нормативних актів, чинних на території України, Статуту Товариства, Положенню про Правління Товариства</w:t>
      </w:r>
      <w:r w:rsidR="00567AC9">
        <w:rPr>
          <w:lang w:val="uk-UA"/>
        </w:rPr>
        <w:t>, інших Політик та Положень, затверджених в Товаристві</w:t>
      </w:r>
      <w:r w:rsidR="009D37B2">
        <w:rPr>
          <w:lang w:val="uk-UA"/>
        </w:rPr>
        <w:t>.</w:t>
      </w:r>
    </w:p>
    <w:p w:rsidR="00567AC9" w:rsidRPr="00567AC9" w:rsidRDefault="00567AC9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rStyle w:val="spanrvts0"/>
          <w:rFonts w:eastAsia="Calibri"/>
          <w:lang w:val="uk-UA"/>
        </w:rPr>
      </w:pPr>
      <w:r w:rsidRPr="00567AC9">
        <w:rPr>
          <w:rStyle w:val="spanrvts0"/>
          <w:rFonts w:eastAsia="Calibri"/>
          <w:lang w:val="uk" w:eastAsia="uk"/>
        </w:rPr>
        <w:t>Терміни в ц</w:t>
      </w:r>
      <w:r w:rsidR="00A97CBB">
        <w:rPr>
          <w:rStyle w:val="spanrvts0"/>
          <w:rFonts w:eastAsia="Calibri"/>
          <w:lang w:val="uk" w:eastAsia="uk"/>
        </w:rPr>
        <w:t xml:space="preserve">ьому Положенні </w:t>
      </w:r>
      <w:r w:rsidRPr="00567AC9">
        <w:rPr>
          <w:rStyle w:val="spanrvts0"/>
          <w:rFonts w:eastAsia="Calibri"/>
          <w:lang w:val="uk" w:eastAsia="uk"/>
        </w:rPr>
        <w:t>вживаються в таких значеннях</w:t>
      </w:r>
      <w:r>
        <w:rPr>
          <w:rStyle w:val="spanrvts0"/>
          <w:rFonts w:eastAsia="Calibri"/>
          <w:lang w:val="uk" w:eastAsia="uk"/>
        </w:rPr>
        <w:t>:</w:t>
      </w:r>
    </w:p>
    <w:p w:rsidR="00567AC9" w:rsidRPr="00567AC9" w:rsidRDefault="00567AC9" w:rsidP="00BF7DEA">
      <w:pPr>
        <w:spacing w:before="0" w:line="276" w:lineRule="auto"/>
        <w:ind w:left="567"/>
        <w:jc w:val="both"/>
        <w:rPr>
          <w:lang w:val="uk-UA"/>
        </w:rPr>
      </w:pPr>
      <w:r w:rsidRPr="00567AC9">
        <w:rPr>
          <w:lang w:val="uk-UA"/>
        </w:rPr>
        <w:t xml:space="preserve">винагорода - матеріальна виплата в грошовій формі та/або захід негрошового стимулювання члена Правління Товариства, ключової особи за виконання покладених на нього (неї) посадових обов’язків, яка включає всі фіксовані та/або змінні складові винагороди, передбачені умовами укладеного між таким </w:t>
      </w:r>
      <w:r w:rsidR="00112D7C">
        <w:rPr>
          <w:lang w:val="uk-UA"/>
        </w:rPr>
        <w:t xml:space="preserve">членом </w:t>
      </w:r>
      <w:r w:rsidRPr="00567AC9">
        <w:rPr>
          <w:lang w:val="uk-UA"/>
        </w:rPr>
        <w:t xml:space="preserve">Правління, такою ключовою особою та Товариством договору (контракту); </w:t>
      </w:r>
    </w:p>
    <w:p w:rsidR="00567AC9" w:rsidRPr="00567AC9" w:rsidRDefault="00567AC9" w:rsidP="00BF7DEA">
      <w:pPr>
        <w:spacing w:before="0" w:line="276" w:lineRule="auto"/>
        <w:ind w:left="567"/>
        <w:jc w:val="both"/>
        <w:rPr>
          <w:lang w:val="uk-UA"/>
        </w:rPr>
      </w:pPr>
      <w:r w:rsidRPr="00567AC9">
        <w:rPr>
          <w:lang w:val="uk-UA"/>
        </w:rPr>
        <w:t>виплати зі звільнення - компенсаційні виплати, пов’язані з достроковим розірванням договору (контракту) з членом Правління, ключовою особою за ініціативою Това</w:t>
      </w:r>
      <w:r w:rsidR="00A97CBB">
        <w:rPr>
          <w:lang w:val="uk-UA"/>
        </w:rPr>
        <w:t>р</w:t>
      </w:r>
      <w:r w:rsidRPr="00567AC9">
        <w:rPr>
          <w:lang w:val="uk-UA"/>
        </w:rPr>
        <w:t>иства та можливими обмеженнями щодо його діяльності після припинення його(її) повноважень [якщо такі виплати передбачені в договорі (контракті)];</w:t>
      </w:r>
    </w:p>
    <w:p w:rsidR="00567AC9" w:rsidRPr="00567AC9" w:rsidRDefault="00567AC9" w:rsidP="00BF7DEA">
      <w:pPr>
        <w:spacing w:before="0" w:line="276" w:lineRule="auto"/>
        <w:ind w:left="567"/>
        <w:jc w:val="both"/>
        <w:rPr>
          <w:lang w:val="uk-UA"/>
        </w:rPr>
      </w:pPr>
      <w:r w:rsidRPr="00567AC9">
        <w:rPr>
          <w:lang w:val="uk-UA"/>
        </w:rPr>
        <w:t>змінна винагорода - складова винагороди члена Правління, ключової особи, яка не є фіксованою винагородою згідно з ц</w:t>
      </w:r>
      <w:r w:rsidR="009D6483">
        <w:rPr>
          <w:lang w:val="uk-UA"/>
        </w:rPr>
        <w:t>им Положенням</w:t>
      </w:r>
      <w:r>
        <w:rPr>
          <w:lang w:val="uk-UA"/>
        </w:rPr>
        <w:t>.</w:t>
      </w:r>
    </w:p>
    <w:p w:rsidR="003A19B5" w:rsidRPr="00567AC9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3A19B5">
        <w:rPr>
          <w:iCs/>
          <w:szCs w:val="22"/>
          <w:lang w:val="uk-UA"/>
        </w:rPr>
        <w:t xml:space="preserve">Метою впровадження </w:t>
      </w:r>
      <w:r w:rsidR="00A97CBB">
        <w:rPr>
          <w:iCs/>
          <w:szCs w:val="22"/>
          <w:lang w:val="uk-UA"/>
        </w:rPr>
        <w:t>Положення</w:t>
      </w:r>
      <w:r w:rsidRPr="003A19B5">
        <w:rPr>
          <w:iCs/>
          <w:szCs w:val="22"/>
          <w:lang w:val="uk-UA"/>
        </w:rPr>
        <w:t xml:space="preserve"> є встановлення </w:t>
      </w:r>
      <w:r w:rsidR="003A19B5" w:rsidRPr="003A19B5">
        <w:rPr>
          <w:iCs/>
          <w:szCs w:val="22"/>
          <w:lang w:val="uk-UA"/>
        </w:rPr>
        <w:t xml:space="preserve">системи загальних підходів, принципів і способів формування управлінських рішень у сфері оплати праці (винагороди) членів Правління Товариства та ключових осіб Товариства. </w:t>
      </w:r>
    </w:p>
    <w:p w:rsidR="005F0BCA" w:rsidRPr="003A19B5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3A19B5">
        <w:rPr>
          <w:iCs/>
          <w:szCs w:val="22"/>
          <w:lang w:val="uk-UA"/>
        </w:rPr>
        <w:t>Ц</w:t>
      </w:r>
      <w:r w:rsidR="00A97CBB">
        <w:rPr>
          <w:iCs/>
          <w:szCs w:val="22"/>
          <w:lang w:val="uk-UA"/>
        </w:rPr>
        <w:t>е Положення</w:t>
      </w:r>
      <w:r w:rsidRPr="003A19B5">
        <w:rPr>
          <w:iCs/>
          <w:szCs w:val="22"/>
          <w:lang w:val="uk-UA"/>
        </w:rPr>
        <w:t xml:space="preserve"> спрямован</w:t>
      </w:r>
      <w:r w:rsidR="00A97CBB">
        <w:rPr>
          <w:iCs/>
          <w:szCs w:val="22"/>
          <w:lang w:val="uk-UA"/>
        </w:rPr>
        <w:t>о</w:t>
      </w:r>
      <w:r w:rsidRPr="003A19B5">
        <w:rPr>
          <w:iCs/>
          <w:szCs w:val="22"/>
          <w:lang w:val="uk-UA"/>
        </w:rPr>
        <w:t xml:space="preserve"> на стимулювання результативної та ефективної діяльності Голови та членів Правління, а також Правління в цілому </w:t>
      </w:r>
      <w:r w:rsidR="003A19B5">
        <w:rPr>
          <w:iCs/>
          <w:szCs w:val="22"/>
          <w:lang w:val="uk-UA"/>
        </w:rPr>
        <w:t>та ключови</w:t>
      </w:r>
      <w:r w:rsidR="000921A2">
        <w:rPr>
          <w:iCs/>
          <w:szCs w:val="22"/>
          <w:lang w:val="uk-UA"/>
        </w:rPr>
        <w:t>х</w:t>
      </w:r>
      <w:r w:rsidR="003A19B5">
        <w:rPr>
          <w:iCs/>
          <w:szCs w:val="22"/>
          <w:lang w:val="uk-UA"/>
        </w:rPr>
        <w:t xml:space="preserve"> ос</w:t>
      </w:r>
      <w:r w:rsidR="000921A2">
        <w:rPr>
          <w:iCs/>
          <w:szCs w:val="22"/>
          <w:lang w:val="uk-UA"/>
        </w:rPr>
        <w:t>іб</w:t>
      </w:r>
      <w:r w:rsidR="003A19B5">
        <w:rPr>
          <w:iCs/>
          <w:szCs w:val="22"/>
          <w:lang w:val="uk-UA"/>
        </w:rPr>
        <w:t xml:space="preserve"> Товариства </w:t>
      </w:r>
      <w:r w:rsidRPr="003A19B5">
        <w:rPr>
          <w:iCs/>
          <w:szCs w:val="22"/>
          <w:lang w:val="uk-UA"/>
        </w:rPr>
        <w:t xml:space="preserve">з метою сприяння Товариству в досягненні своїх бізнес-стратегій, прибутковості, стабільності, забезпечення захисту інтересів кредиторів та акціонерів Товариства. </w:t>
      </w:r>
      <w:r w:rsidR="00A97CBB">
        <w:rPr>
          <w:szCs w:val="22"/>
          <w:lang w:val="uk-UA"/>
        </w:rPr>
        <w:t>Положення</w:t>
      </w:r>
      <w:r w:rsidRPr="003A19B5">
        <w:rPr>
          <w:szCs w:val="22"/>
          <w:lang w:val="uk-UA"/>
        </w:rPr>
        <w:t xml:space="preserve"> встановлює загальний порядок виплати винагороди членам </w:t>
      </w:r>
      <w:r w:rsidR="003A19B5">
        <w:rPr>
          <w:szCs w:val="22"/>
          <w:lang w:val="uk-UA"/>
        </w:rPr>
        <w:t>Правління та</w:t>
      </w:r>
      <w:r w:rsidR="009C4FEF">
        <w:rPr>
          <w:szCs w:val="22"/>
          <w:lang w:val="uk-UA"/>
        </w:rPr>
        <w:t xml:space="preserve"> ключовим особам </w:t>
      </w:r>
      <w:r w:rsidRPr="003A19B5">
        <w:rPr>
          <w:szCs w:val="22"/>
          <w:lang w:val="uk-UA"/>
        </w:rPr>
        <w:t>з урахуванням його розміру та особливостей діяльності, сприяє дотриманню корпоративних цінностей та забезпечує прозорість та відкритість принципів, відповідно до яких виплачується винагорода.</w:t>
      </w:r>
    </w:p>
    <w:p w:rsidR="00D979D6" w:rsidRDefault="00A97CBB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>
        <w:rPr>
          <w:iCs/>
          <w:szCs w:val="22"/>
          <w:lang w:val="uk-UA"/>
        </w:rPr>
        <w:t>Положення</w:t>
      </w:r>
      <w:r w:rsidR="005F0BCA" w:rsidRPr="005F0BCA">
        <w:rPr>
          <w:iCs/>
          <w:szCs w:val="22"/>
          <w:lang w:val="uk-UA"/>
        </w:rPr>
        <w:t xml:space="preserve"> є обов’язков</w:t>
      </w:r>
      <w:r>
        <w:rPr>
          <w:iCs/>
          <w:szCs w:val="22"/>
          <w:lang w:val="uk-UA"/>
        </w:rPr>
        <w:t>им</w:t>
      </w:r>
      <w:r w:rsidR="005F0BCA" w:rsidRPr="005F0BCA">
        <w:rPr>
          <w:iCs/>
          <w:szCs w:val="22"/>
          <w:lang w:val="uk-UA"/>
        </w:rPr>
        <w:t xml:space="preserve"> до виконання членами Наглядової ради, Правлінням, його Головою та членами, </w:t>
      </w:r>
      <w:r w:rsidR="009C4FEF">
        <w:rPr>
          <w:iCs/>
          <w:szCs w:val="22"/>
          <w:lang w:val="uk-UA"/>
        </w:rPr>
        <w:t>ключовим</w:t>
      </w:r>
      <w:r w:rsidR="000921A2">
        <w:rPr>
          <w:iCs/>
          <w:szCs w:val="22"/>
          <w:lang w:val="uk-UA"/>
        </w:rPr>
        <w:t>и</w:t>
      </w:r>
      <w:r w:rsidR="009C4FEF">
        <w:rPr>
          <w:iCs/>
          <w:szCs w:val="22"/>
          <w:lang w:val="uk-UA"/>
        </w:rPr>
        <w:t xml:space="preserve"> особам</w:t>
      </w:r>
      <w:r w:rsidR="000921A2">
        <w:rPr>
          <w:iCs/>
          <w:szCs w:val="22"/>
          <w:lang w:val="uk-UA"/>
        </w:rPr>
        <w:t>и</w:t>
      </w:r>
      <w:r w:rsidR="009C4FEF">
        <w:rPr>
          <w:iCs/>
          <w:szCs w:val="22"/>
          <w:lang w:val="uk-UA"/>
        </w:rPr>
        <w:t xml:space="preserve">, </w:t>
      </w:r>
      <w:r w:rsidR="005F0BCA" w:rsidRPr="005F0BCA">
        <w:rPr>
          <w:iCs/>
          <w:szCs w:val="22"/>
          <w:lang w:val="uk-UA"/>
        </w:rPr>
        <w:t>іншими працівниками Товариства, на яких покладено обов’язки з нарахування та виплати заробітної плати та інших доходів</w:t>
      </w:r>
      <w:r w:rsidR="00D979D6" w:rsidRPr="005F0BCA">
        <w:rPr>
          <w:lang w:val="uk-UA"/>
        </w:rPr>
        <w:t>.</w:t>
      </w:r>
    </w:p>
    <w:p w:rsidR="00BF7DEA" w:rsidRPr="005F0BCA" w:rsidRDefault="00BF7DEA" w:rsidP="00BF7DEA">
      <w:pPr>
        <w:pStyle w:val="a7"/>
        <w:spacing w:before="0" w:line="276" w:lineRule="auto"/>
        <w:ind w:left="567"/>
        <w:contextualSpacing w:val="0"/>
        <w:jc w:val="both"/>
        <w:rPr>
          <w:lang w:val="uk-UA"/>
        </w:rPr>
      </w:pPr>
    </w:p>
    <w:p w:rsidR="00D979D6" w:rsidRPr="005F0BCA" w:rsidRDefault="005F0BCA" w:rsidP="00BF7DEA">
      <w:pPr>
        <w:pStyle w:val="a7"/>
        <w:numPr>
          <w:ilvl w:val="0"/>
          <w:numId w:val="1"/>
        </w:numPr>
        <w:spacing w:before="0" w:line="276" w:lineRule="auto"/>
        <w:contextualSpacing w:val="0"/>
        <w:jc w:val="both"/>
        <w:rPr>
          <w:b/>
          <w:lang w:val="uk-UA"/>
        </w:rPr>
      </w:pPr>
      <w:r w:rsidRPr="005F0BCA">
        <w:rPr>
          <w:b/>
          <w:iCs/>
          <w:szCs w:val="22"/>
          <w:lang w:val="uk-UA"/>
        </w:rPr>
        <w:t>ПОРЯДОК ВСТАНОВЛЕННЯ ТА ВИЗНАЧЕННЯ РОЗМІРУ ВИНАГОРОДИ ГОЛОВИ ТА ЧЛЕНІВ ПРАВЛІННЯ</w:t>
      </w:r>
      <w:r w:rsidR="002939E4">
        <w:rPr>
          <w:b/>
          <w:iCs/>
          <w:szCs w:val="22"/>
          <w:lang w:val="uk-UA"/>
        </w:rPr>
        <w:t>, КЛЮЧОВИХ ОСІБ</w:t>
      </w:r>
    </w:p>
    <w:p w:rsidR="00D979D6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iCs/>
          <w:szCs w:val="22"/>
          <w:lang w:val="uk-UA"/>
        </w:rPr>
        <w:t>Розмір винагороди та умови її виплати Голові та члену Правління</w:t>
      </w:r>
      <w:r w:rsidR="002939E4">
        <w:rPr>
          <w:iCs/>
          <w:szCs w:val="22"/>
          <w:lang w:val="uk-UA"/>
        </w:rPr>
        <w:t xml:space="preserve">, ключовим особам </w:t>
      </w:r>
      <w:r w:rsidRPr="005F0BCA">
        <w:rPr>
          <w:iCs/>
          <w:szCs w:val="22"/>
          <w:lang w:val="uk-UA"/>
        </w:rPr>
        <w:t xml:space="preserve"> встановлюється Наглядовою радою Товариства в трудовому контракті, що укладається з Головою та членами Правління</w:t>
      </w:r>
      <w:r w:rsidR="002939E4">
        <w:rPr>
          <w:iCs/>
          <w:szCs w:val="22"/>
          <w:lang w:val="uk-UA"/>
        </w:rPr>
        <w:t xml:space="preserve">, ключовими особами </w:t>
      </w:r>
      <w:r w:rsidRPr="005F0BCA">
        <w:rPr>
          <w:iCs/>
          <w:szCs w:val="22"/>
          <w:lang w:val="uk-UA"/>
        </w:rPr>
        <w:t>у відповідності до Статуту Товариства, Положення</w:t>
      </w:r>
      <w:r w:rsidR="002939E4">
        <w:rPr>
          <w:iCs/>
          <w:szCs w:val="22"/>
          <w:lang w:val="uk-UA"/>
        </w:rPr>
        <w:t>м</w:t>
      </w:r>
      <w:r w:rsidRPr="005F0BCA">
        <w:rPr>
          <w:iCs/>
          <w:szCs w:val="22"/>
          <w:lang w:val="uk-UA"/>
        </w:rPr>
        <w:t xml:space="preserve"> про Правління Товариства, </w:t>
      </w:r>
      <w:r w:rsidR="002939E4">
        <w:rPr>
          <w:iCs/>
          <w:szCs w:val="22"/>
          <w:lang w:val="uk-UA"/>
        </w:rPr>
        <w:t xml:space="preserve">іншими </w:t>
      </w:r>
      <w:r w:rsidR="000921A2">
        <w:rPr>
          <w:iCs/>
          <w:szCs w:val="22"/>
          <w:lang w:val="uk-UA"/>
        </w:rPr>
        <w:t xml:space="preserve">Політиками та </w:t>
      </w:r>
      <w:r w:rsidR="002939E4">
        <w:rPr>
          <w:iCs/>
          <w:szCs w:val="22"/>
          <w:lang w:val="uk-UA"/>
        </w:rPr>
        <w:t xml:space="preserve">Положеннями Товариства </w:t>
      </w:r>
      <w:r w:rsidR="000921A2">
        <w:rPr>
          <w:iCs/>
          <w:szCs w:val="22"/>
          <w:lang w:val="uk-UA"/>
        </w:rPr>
        <w:t xml:space="preserve">та </w:t>
      </w:r>
      <w:r w:rsidR="002939E4">
        <w:rPr>
          <w:iCs/>
          <w:szCs w:val="22"/>
          <w:lang w:val="uk-UA"/>
        </w:rPr>
        <w:t>ц</w:t>
      </w:r>
      <w:r w:rsidR="00A97CBB">
        <w:rPr>
          <w:iCs/>
          <w:szCs w:val="22"/>
          <w:lang w:val="uk-UA"/>
        </w:rPr>
        <w:t>им Положенням</w:t>
      </w:r>
      <w:r w:rsidR="00D979D6" w:rsidRPr="005F0BCA">
        <w:rPr>
          <w:lang w:val="uk-UA"/>
        </w:rPr>
        <w:t>.</w:t>
      </w:r>
    </w:p>
    <w:p w:rsidR="00D979D6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iCs/>
          <w:szCs w:val="22"/>
          <w:lang w:val="uk-UA"/>
        </w:rPr>
        <w:lastRenderedPageBreak/>
        <w:t>Винагорода Голові та членам Правління</w:t>
      </w:r>
      <w:r w:rsidR="002939E4">
        <w:rPr>
          <w:iCs/>
          <w:szCs w:val="22"/>
          <w:lang w:val="uk-UA"/>
        </w:rPr>
        <w:t>, ключовим особам</w:t>
      </w:r>
      <w:r w:rsidRPr="005F0BCA">
        <w:rPr>
          <w:iCs/>
          <w:szCs w:val="22"/>
          <w:lang w:val="uk-UA"/>
        </w:rPr>
        <w:t xml:space="preserve"> встановлюватися у фіксованому</w:t>
      </w:r>
      <w:r w:rsidR="000921A2">
        <w:rPr>
          <w:iCs/>
          <w:szCs w:val="22"/>
          <w:lang w:val="uk-UA"/>
        </w:rPr>
        <w:t xml:space="preserve"> наперед визначеному </w:t>
      </w:r>
      <w:r w:rsidRPr="005F0BCA">
        <w:rPr>
          <w:iCs/>
          <w:szCs w:val="22"/>
          <w:lang w:val="uk-UA"/>
        </w:rPr>
        <w:t xml:space="preserve">розмірі, яка визначається на умовах, викладених в трудовому контракті та у штатному </w:t>
      </w:r>
      <w:r w:rsidR="000921A2">
        <w:rPr>
          <w:iCs/>
          <w:szCs w:val="22"/>
          <w:lang w:val="uk-UA"/>
        </w:rPr>
        <w:t>розписи та встановлюється рішенням Наглядової ради Товариства або ( у разі її відсутності) Загальними зборами</w:t>
      </w:r>
      <w:r w:rsidR="00D979D6" w:rsidRPr="005F0BCA">
        <w:rPr>
          <w:lang w:val="uk-UA"/>
        </w:rPr>
        <w:t>.</w:t>
      </w:r>
    </w:p>
    <w:p w:rsidR="000921A2" w:rsidRDefault="005F0BCA" w:rsidP="00BF7DEA">
      <w:pPr>
        <w:pStyle w:val="a7"/>
        <w:spacing w:before="0" w:line="276" w:lineRule="auto"/>
        <w:ind w:left="567"/>
        <w:contextualSpacing w:val="0"/>
        <w:jc w:val="both"/>
        <w:rPr>
          <w:iCs/>
          <w:szCs w:val="22"/>
          <w:lang w:val="uk-UA"/>
        </w:rPr>
      </w:pPr>
      <w:r w:rsidRPr="005F0BCA">
        <w:rPr>
          <w:iCs/>
          <w:szCs w:val="22"/>
          <w:lang w:val="uk-UA"/>
        </w:rPr>
        <w:t>Розмір фіксованої винагороди</w:t>
      </w:r>
      <w:r w:rsidR="000921A2">
        <w:rPr>
          <w:iCs/>
          <w:szCs w:val="22"/>
          <w:lang w:val="uk-UA"/>
        </w:rPr>
        <w:t>:</w:t>
      </w:r>
    </w:p>
    <w:p w:rsidR="000921A2" w:rsidRPr="000921A2" w:rsidRDefault="000921A2" w:rsidP="00BF7DEA">
      <w:pPr>
        <w:pStyle w:val="a7"/>
        <w:numPr>
          <w:ilvl w:val="0"/>
          <w:numId w:val="18"/>
        </w:numPr>
        <w:spacing w:before="0" w:line="276" w:lineRule="auto"/>
        <w:ind w:left="924" w:hanging="357"/>
        <w:jc w:val="both"/>
        <w:rPr>
          <w:iCs/>
          <w:szCs w:val="22"/>
          <w:lang w:val="uk-UA"/>
        </w:rPr>
      </w:pPr>
      <w:r w:rsidRPr="000921A2">
        <w:rPr>
          <w:iCs/>
          <w:szCs w:val="22"/>
          <w:lang w:val="uk-UA"/>
        </w:rPr>
        <w:t xml:space="preserve">відповідає рівню професійного досвіду, місцю члена </w:t>
      </w:r>
      <w:r>
        <w:rPr>
          <w:iCs/>
          <w:szCs w:val="22"/>
          <w:lang w:val="uk-UA"/>
        </w:rPr>
        <w:t>Правління</w:t>
      </w:r>
      <w:r w:rsidRPr="000921A2">
        <w:rPr>
          <w:iCs/>
          <w:szCs w:val="22"/>
          <w:lang w:val="uk-UA"/>
        </w:rPr>
        <w:t xml:space="preserve">, ключової особи в організаційній структурі </w:t>
      </w:r>
      <w:r>
        <w:rPr>
          <w:iCs/>
          <w:szCs w:val="22"/>
          <w:lang w:val="uk-UA"/>
        </w:rPr>
        <w:t>Товариства</w:t>
      </w:r>
      <w:r w:rsidRPr="000921A2">
        <w:rPr>
          <w:iCs/>
          <w:szCs w:val="22"/>
          <w:lang w:val="uk-UA"/>
        </w:rPr>
        <w:t xml:space="preserve"> та рівню його(її) відповідальності;</w:t>
      </w:r>
    </w:p>
    <w:p w:rsidR="000921A2" w:rsidRPr="000921A2" w:rsidRDefault="000921A2" w:rsidP="00BF7DEA">
      <w:pPr>
        <w:pStyle w:val="a7"/>
        <w:numPr>
          <w:ilvl w:val="0"/>
          <w:numId w:val="18"/>
        </w:numPr>
        <w:spacing w:before="0" w:line="276" w:lineRule="auto"/>
        <w:ind w:left="924" w:hanging="357"/>
        <w:jc w:val="both"/>
        <w:rPr>
          <w:iCs/>
          <w:szCs w:val="22"/>
          <w:lang w:val="uk-UA"/>
        </w:rPr>
      </w:pPr>
      <w:r w:rsidRPr="000921A2">
        <w:rPr>
          <w:iCs/>
          <w:szCs w:val="22"/>
          <w:lang w:val="uk-UA"/>
        </w:rPr>
        <w:t xml:space="preserve">не залежить від результатів діяльності </w:t>
      </w:r>
      <w:r>
        <w:rPr>
          <w:iCs/>
          <w:szCs w:val="22"/>
          <w:lang w:val="uk-UA"/>
        </w:rPr>
        <w:t>Товариства</w:t>
      </w:r>
      <w:r w:rsidRPr="000921A2">
        <w:rPr>
          <w:iCs/>
          <w:szCs w:val="22"/>
          <w:lang w:val="uk-UA"/>
        </w:rPr>
        <w:t>;</w:t>
      </w:r>
    </w:p>
    <w:p w:rsidR="000921A2" w:rsidRPr="000921A2" w:rsidRDefault="000921A2" w:rsidP="00BF7DEA">
      <w:pPr>
        <w:pStyle w:val="a7"/>
        <w:numPr>
          <w:ilvl w:val="0"/>
          <w:numId w:val="18"/>
        </w:numPr>
        <w:spacing w:before="0" w:line="276" w:lineRule="auto"/>
        <w:ind w:left="924" w:hanging="357"/>
        <w:jc w:val="both"/>
        <w:rPr>
          <w:iCs/>
          <w:szCs w:val="22"/>
          <w:lang w:val="uk-UA"/>
        </w:rPr>
      </w:pPr>
      <w:r w:rsidRPr="000921A2">
        <w:rPr>
          <w:iCs/>
          <w:szCs w:val="22"/>
          <w:lang w:val="uk-UA"/>
        </w:rPr>
        <w:t>є гарантован</w:t>
      </w:r>
      <w:r>
        <w:rPr>
          <w:iCs/>
          <w:szCs w:val="22"/>
          <w:lang w:val="uk-UA"/>
        </w:rPr>
        <w:t>им</w:t>
      </w:r>
      <w:r w:rsidRPr="000921A2">
        <w:rPr>
          <w:iCs/>
          <w:szCs w:val="22"/>
          <w:lang w:val="uk-UA"/>
        </w:rPr>
        <w:t xml:space="preserve"> та так</w:t>
      </w:r>
      <w:r>
        <w:rPr>
          <w:iCs/>
          <w:szCs w:val="22"/>
          <w:lang w:val="uk-UA"/>
        </w:rPr>
        <w:t>им</w:t>
      </w:r>
      <w:r w:rsidRPr="000921A2">
        <w:rPr>
          <w:iCs/>
          <w:szCs w:val="22"/>
          <w:lang w:val="uk-UA"/>
        </w:rPr>
        <w:t>, що не може бути змін</w:t>
      </w:r>
      <w:r>
        <w:rPr>
          <w:iCs/>
          <w:szCs w:val="22"/>
          <w:lang w:val="uk-UA"/>
        </w:rPr>
        <w:t>ений</w:t>
      </w:r>
      <w:r w:rsidRPr="000921A2">
        <w:rPr>
          <w:iCs/>
          <w:szCs w:val="22"/>
          <w:lang w:val="uk-UA"/>
        </w:rPr>
        <w:t>, скасован</w:t>
      </w:r>
      <w:r>
        <w:rPr>
          <w:iCs/>
          <w:szCs w:val="22"/>
          <w:lang w:val="uk-UA"/>
        </w:rPr>
        <w:t xml:space="preserve">ий, </w:t>
      </w:r>
      <w:r w:rsidRPr="000921A2">
        <w:rPr>
          <w:iCs/>
          <w:szCs w:val="22"/>
          <w:lang w:val="uk-UA"/>
        </w:rPr>
        <w:t xml:space="preserve"> затриман</w:t>
      </w:r>
      <w:r>
        <w:rPr>
          <w:iCs/>
          <w:szCs w:val="22"/>
          <w:lang w:val="uk-UA"/>
        </w:rPr>
        <w:t>ий</w:t>
      </w:r>
      <w:r w:rsidRPr="000921A2">
        <w:rPr>
          <w:iCs/>
          <w:szCs w:val="22"/>
          <w:lang w:val="uk-UA"/>
        </w:rPr>
        <w:t xml:space="preserve"> або витребуван</w:t>
      </w:r>
      <w:r>
        <w:rPr>
          <w:iCs/>
          <w:szCs w:val="22"/>
          <w:lang w:val="uk-UA"/>
        </w:rPr>
        <w:t>ий</w:t>
      </w:r>
      <w:r w:rsidRPr="000921A2">
        <w:rPr>
          <w:iCs/>
          <w:szCs w:val="22"/>
          <w:lang w:val="uk-UA"/>
        </w:rPr>
        <w:t xml:space="preserve"> для повернення </w:t>
      </w:r>
      <w:r>
        <w:rPr>
          <w:iCs/>
          <w:szCs w:val="22"/>
          <w:lang w:val="uk-UA"/>
        </w:rPr>
        <w:t>Товариством</w:t>
      </w:r>
      <w:r w:rsidRPr="000921A2">
        <w:rPr>
          <w:iCs/>
          <w:szCs w:val="22"/>
          <w:lang w:val="uk-UA"/>
        </w:rPr>
        <w:t>, крім випадків, передбачених законодавством України;</w:t>
      </w:r>
    </w:p>
    <w:p w:rsidR="000921A2" w:rsidRPr="000921A2" w:rsidRDefault="000921A2" w:rsidP="00BF7DEA">
      <w:pPr>
        <w:pStyle w:val="a7"/>
        <w:numPr>
          <w:ilvl w:val="0"/>
          <w:numId w:val="18"/>
        </w:numPr>
        <w:spacing w:before="0" w:line="276" w:lineRule="auto"/>
        <w:ind w:left="924" w:hanging="357"/>
        <w:jc w:val="both"/>
        <w:rPr>
          <w:iCs/>
          <w:szCs w:val="22"/>
          <w:lang w:val="uk-UA"/>
        </w:rPr>
      </w:pPr>
      <w:r w:rsidRPr="000921A2">
        <w:rPr>
          <w:iCs/>
          <w:szCs w:val="22"/>
          <w:lang w:val="uk-UA"/>
        </w:rPr>
        <w:t>має прозорі та зрозумілі умови визначення, нарахування та виплати;</w:t>
      </w:r>
    </w:p>
    <w:p w:rsidR="000921A2" w:rsidRDefault="000921A2" w:rsidP="00BF7DEA">
      <w:pPr>
        <w:pStyle w:val="a7"/>
        <w:numPr>
          <w:ilvl w:val="0"/>
          <w:numId w:val="18"/>
        </w:numPr>
        <w:spacing w:before="0" w:line="276" w:lineRule="auto"/>
        <w:ind w:left="924" w:hanging="357"/>
        <w:contextualSpacing w:val="0"/>
        <w:jc w:val="both"/>
        <w:rPr>
          <w:iCs/>
          <w:szCs w:val="22"/>
          <w:lang w:val="uk-UA"/>
        </w:rPr>
      </w:pPr>
      <w:r w:rsidRPr="000921A2">
        <w:rPr>
          <w:iCs/>
          <w:szCs w:val="22"/>
          <w:lang w:val="uk-UA"/>
        </w:rPr>
        <w:t>має постійний характер виплати протягом усього періоду виконання членом Правління, ключовою особою його(її) функцій у Товаристві;</w:t>
      </w:r>
    </w:p>
    <w:p w:rsidR="000921A2" w:rsidRPr="000921A2" w:rsidRDefault="000921A2" w:rsidP="00BF7DEA">
      <w:pPr>
        <w:pStyle w:val="a7"/>
        <w:numPr>
          <w:ilvl w:val="0"/>
          <w:numId w:val="18"/>
        </w:numPr>
        <w:spacing w:before="0" w:line="276" w:lineRule="auto"/>
        <w:ind w:left="924" w:hanging="357"/>
        <w:contextualSpacing w:val="0"/>
        <w:jc w:val="both"/>
        <w:rPr>
          <w:iCs/>
          <w:szCs w:val="22"/>
          <w:lang w:val="uk-UA"/>
        </w:rPr>
      </w:pPr>
      <w:r w:rsidRPr="000921A2">
        <w:rPr>
          <w:iCs/>
          <w:szCs w:val="22"/>
          <w:lang w:val="uk-UA"/>
        </w:rPr>
        <w:t>не стимулює до прийняття ризиків, які не є прийнятними за звичайних умов</w:t>
      </w:r>
      <w:r w:rsidR="00A97CBB">
        <w:rPr>
          <w:iCs/>
          <w:szCs w:val="22"/>
          <w:lang w:val="uk-UA"/>
        </w:rPr>
        <w:t>.</w:t>
      </w:r>
    </w:p>
    <w:p w:rsidR="005F0BCA" w:rsidRPr="005F0BCA" w:rsidRDefault="005F0BCA" w:rsidP="00BF7DEA">
      <w:pPr>
        <w:pStyle w:val="a7"/>
        <w:spacing w:before="0" w:line="276" w:lineRule="auto"/>
        <w:ind w:left="567"/>
        <w:contextualSpacing w:val="0"/>
        <w:jc w:val="both"/>
        <w:rPr>
          <w:lang w:val="uk-UA"/>
        </w:rPr>
      </w:pPr>
      <w:r w:rsidRPr="005F0BCA">
        <w:rPr>
          <w:iCs/>
          <w:szCs w:val="22"/>
          <w:lang w:val="uk-UA"/>
        </w:rPr>
        <w:t>Розмір фіксованої винагороди має бути достатнім для того, що Товариство мало можливість реалізовувати своє право не виплачувати змінну винагороду</w:t>
      </w:r>
      <w:r w:rsidR="002C126D">
        <w:rPr>
          <w:iCs/>
          <w:szCs w:val="22"/>
          <w:lang w:val="uk-UA"/>
        </w:rPr>
        <w:t>.</w:t>
      </w:r>
    </w:p>
    <w:p w:rsidR="007E14D2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iCs/>
          <w:szCs w:val="22"/>
          <w:lang w:val="uk-UA"/>
        </w:rPr>
        <w:t>Крім фіксованої винагороди можуть також виплачуватись інші види компенсації, зокрема премія, інші винагороди за результатами діяльності, пенсійні домовленості та компенсація при звільнені. Рішення про виплату змінної частини винагороди Голові та/або членам Правління</w:t>
      </w:r>
      <w:r w:rsidR="002939E4">
        <w:rPr>
          <w:iCs/>
          <w:szCs w:val="22"/>
          <w:lang w:val="uk-UA"/>
        </w:rPr>
        <w:t>, ключовим особам</w:t>
      </w:r>
      <w:r w:rsidRPr="005F0BCA">
        <w:rPr>
          <w:iCs/>
          <w:szCs w:val="22"/>
          <w:lang w:val="uk-UA"/>
        </w:rPr>
        <w:t xml:space="preserve"> приймається Наглядовою радою Товариства</w:t>
      </w:r>
      <w:r w:rsidR="00D979D6" w:rsidRPr="005F0BCA">
        <w:rPr>
          <w:lang w:val="uk-UA"/>
        </w:rPr>
        <w:t>.</w:t>
      </w:r>
    </w:p>
    <w:p w:rsidR="005F0BCA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iCs/>
          <w:szCs w:val="22"/>
          <w:lang w:val="uk-UA"/>
        </w:rPr>
        <w:t>Виплата фіксованої винагороди Голові та членам Правління</w:t>
      </w:r>
      <w:r w:rsidR="002939E4">
        <w:rPr>
          <w:iCs/>
          <w:szCs w:val="22"/>
          <w:lang w:val="uk-UA"/>
        </w:rPr>
        <w:t>, ключовим особам</w:t>
      </w:r>
      <w:r w:rsidRPr="005F0BCA">
        <w:rPr>
          <w:iCs/>
          <w:szCs w:val="22"/>
          <w:lang w:val="uk-UA"/>
        </w:rPr>
        <w:t xml:space="preserve"> здійснюється з дати обрання</w:t>
      </w:r>
      <w:r w:rsidR="00F52F7D">
        <w:rPr>
          <w:iCs/>
          <w:szCs w:val="22"/>
          <w:lang w:val="uk-UA"/>
        </w:rPr>
        <w:t>/призначення</w:t>
      </w:r>
      <w:r w:rsidRPr="005F0BCA">
        <w:rPr>
          <w:iCs/>
          <w:szCs w:val="22"/>
          <w:lang w:val="uk-UA"/>
        </w:rPr>
        <w:t xml:space="preserve"> їх на відповідну посаду та припиняється з дати припинення виконання ними своїх повноважень у відповідності до Статуту Товариства та чинного законодавства України.</w:t>
      </w:r>
    </w:p>
    <w:p w:rsidR="005F0BCA" w:rsidRPr="005F0BCA" w:rsidRDefault="00B6008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>
        <w:rPr>
          <w:iCs/>
          <w:szCs w:val="22"/>
          <w:lang w:val="uk-UA"/>
        </w:rPr>
        <w:t>Виплата змінної частини винагороди (преміювання)</w:t>
      </w:r>
      <w:r w:rsidR="005F0BCA" w:rsidRPr="005F0BCA">
        <w:rPr>
          <w:iCs/>
          <w:szCs w:val="22"/>
          <w:lang w:val="uk-UA"/>
        </w:rPr>
        <w:t xml:space="preserve"> Голови та/або членів Правління</w:t>
      </w:r>
      <w:r w:rsidR="002939E4">
        <w:rPr>
          <w:iCs/>
          <w:szCs w:val="22"/>
          <w:lang w:val="uk-UA"/>
        </w:rPr>
        <w:t>, ключових осіб</w:t>
      </w:r>
      <w:r w:rsidR="005F0BCA" w:rsidRPr="005F0BCA">
        <w:rPr>
          <w:iCs/>
          <w:szCs w:val="22"/>
          <w:lang w:val="uk-UA"/>
        </w:rPr>
        <w:t xml:space="preserve"> здійснюється відповідно до їх особистого вкладу в загальні результати праці за підсумками роботи за місяць. На підставі рішення Наглядової ради Голові та/або членам Правління</w:t>
      </w:r>
      <w:r w:rsidR="002939E4">
        <w:rPr>
          <w:iCs/>
          <w:szCs w:val="22"/>
          <w:lang w:val="uk-UA"/>
        </w:rPr>
        <w:t xml:space="preserve">, ключовим особам </w:t>
      </w:r>
      <w:r w:rsidR="005F0BCA" w:rsidRPr="005F0BCA">
        <w:rPr>
          <w:iCs/>
          <w:szCs w:val="22"/>
          <w:lang w:val="uk-UA"/>
        </w:rPr>
        <w:t xml:space="preserve"> можуть виплачуватися премії та грошові винагороди, які мають одноразовий характер. До них належать:</w:t>
      </w:r>
    </w:p>
    <w:p w:rsidR="005F0BCA" w:rsidRPr="005F0BCA" w:rsidRDefault="005F0BCA" w:rsidP="00BF7DEA">
      <w:pPr>
        <w:pStyle w:val="a7"/>
        <w:numPr>
          <w:ilvl w:val="2"/>
          <w:numId w:val="1"/>
        </w:numPr>
        <w:spacing w:before="0" w:line="276" w:lineRule="auto"/>
        <w:ind w:left="1418" w:hanging="851"/>
        <w:contextualSpacing w:val="0"/>
        <w:jc w:val="both"/>
        <w:rPr>
          <w:iCs/>
          <w:szCs w:val="22"/>
          <w:lang w:val="uk-UA"/>
        </w:rPr>
      </w:pPr>
      <w:r w:rsidRPr="005F0BCA">
        <w:rPr>
          <w:iCs/>
          <w:szCs w:val="22"/>
          <w:lang w:val="uk-UA"/>
        </w:rPr>
        <w:t>винагороди за підсумками роботи за рік, квартал;</w:t>
      </w:r>
    </w:p>
    <w:p w:rsidR="005F0BCA" w:rsidRPr="005F0BCA" w:rsidRDefault="005F0BCA" w:rsidP="00BF7DEA">
      <w:pPr>
        <w:pStyle w:val="a7"/>
        <w:numPr>
          <w:ilvl w:val="2"/>
          <w:numId w:val="1"/>
        </w:numPr>
        <w:spacing w:before="0" w:line="276" w:lineRule="auto"/>
        <w:ind w:left="1418" w:hanging="851"/>
        <w:contextualSpacing w:val="0"/>
        <w:jc w:val="both"/>
        <w:rPr>
          <w:iCs/>
          <w:szCs w:val="22"/>
          <w:lang w:val="uk-UA"/>
        </w:rPr>
      </w:pPr>
      <w:r w:rsidRPr="005F0BCA">
        <w:rPr>
          <w:iCs/>
          <w:szCs w:val="22"/>
          <w:lang w:val="uk-UA"/>
        </w:rPr>
        <w:t>заохочення, пов'язані з конкретними результатами праці;</w:t>
      </w:r>
    </w:p>
    <w:p w:rsidR="005F0BCA" w:rsidRPr="005F0BCA" w:rsidRDefault="005F0BCA" w:rsidP="00BF7DEA">
      <w:pPr>
        <w:pStyle w:val="a7"/>
        <w:numPr>
          <w:ilvl w:val="2"/>
          <w:numId w:val="1"/>
        </w:numPr>
        <w:spacing w:before="0" w:line="276" w:lineRule="auto"/>
        <w:ind w:left="1418" w:hanging="851"/>
        <w:contextualSpacing w:val="0"/>
        <w:jc w:val="both"/>
        <w:rPr>
          <w:iCs/>
          <w:szCs w:val="22"/>
          <w:lang w:val="uk-UA"/>
        </w:rPr>
      </w:pPr>
      <w:r w:rsidRPr="005F0BCA">
        <w:rPr>
          <w:iCs/>
          <w:szCs w:val="22"/>
          <w:lang w:val="uk-UA"/>
        </w:rPr>
        <w:t>заохочення, не пов'язані з конкретними результатами праці (наприклад, до ювілейних і пам'ятних дат, з нагоди державних, професійних свят, тощо).</w:t>
      </w:r>
    </w:p>
    <w:p w:rsidR="005F0BCA" w:rsidRPr="00B6008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iCs/>
          <w:szCs w:val="22"/>
          <w:lang w:val="uk-UA"/>
        </w:rPr>
        <w:t>Преміювання Голови та/або членів Правління</w:t>
      </w:r>
      <w:r w:rsidR="002939E4">
        <w:rPr>
          <w:iCs/>
          <w:szCs w:val="22"/>
          <w:lang w:val="uk-UA"/>
        </w:rPr>
        <w:t>, ключових осіб</w:t>
      </w:r>
      <w:r w:rsidRPr="005F0BCA">
        <w:rPr>
          <w:iCs/>
          <w:szCs w:val="22"/>
          <w:lang w:val="uk-UA"/>
        </w:rPr>
        <w:t xml:space="preserve"> пов'язується з досягненням кінцевих результатів праці, ростом продуктивності праці, досягненням встановлених показників діяльності Товариства, виконанням ключових показників діяльності Голови та/або членів Правління</w:t>
      </w:r>
      <w:r w:rsidR="002939E4">
        <w:rPr>
          <w:iCs/>
          <w:szCs w:val="22"/>
          <w:lang w:val="uk-UA"/>
        </w:rPr>
        <w:t>, ключових осіб</w:t>
      </w:r>
      <w:r w:rsidRPr="005F0BCA">
        <w:rPr>
          <w:iCs/>
          <w:szCs w:val="22"/>
          <w:lang w:val="uk-UA"/>
        </w:rPr>
        <w:t xml:space="preserve"> й іншими показниками діяльності Товариства.</w:t>
      </w:r>
    </w:p>
    <w:p w:rsidR="00B6008A" w:rsidRPr="005F0BCA" w:rsidRDefault="00B6008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>
        <w:rPr>
          <w:rStyle w:val="spanrvts0"/>
          <w:rFonts w:eastAsia="Calibri"/>
          <w:lang w:val="uk" w:eastAsia="uk"/>
        </w:rPr>
        <w:t xml:space="preserve">Преміювання здійснюється з урахуванням прийнятих </w:t>
      </w:r>
      <w:r w:rsidR="00A424ED">
        <w:rPr>
          <w:rStyle w:val="spanrvts0"/>
          <w:rFonts w:eastAsia="Calibri"/>
          <w:lang w:val="uk" w:eastAsia="uk"/>
        </w:rPr>
        <w:t>Товариством</w:t>
      </w:r>
      <w:r>
        <w:rPr>
          <w:rStyle w:val="spanrvts0"/>
          <w:rFonts w:eastAsia="Calibri"/>
          <w:lang w:val="uk" w:eastAsia="uk"/>
        </w:rPr>
        <w:t xml:space="preserve"> ризиків і результатів такого прийняття, фінансового результату діяльності Товариства, дотримання вимог щодо платоспроможності Товариства.</w:t>
      </w:r>
    </w:p>
    <w:p w:rsidR="005F0BCA" w:rsidRPr="005F0BCA" w:rsidRDefault="002939E4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>
        <w:rPr>
          <w:iCs/>
          <w:szCs w:val="22"/>
          <w:lang w:val="uk-UA"/>
        </w:rPr>
        <w:t>Ц</w:t>
      </w:r>
      <w:r w:rsidR="00B838DF">
        <w:rPr>
          <w:iCs/>
          <w:szCs w:val="22"/>
          <w:lang w:val="uk-UA"/>
        </w:rPr>
        <w:t>им Положенням</w:t>
      </w:r>
      <w:r w:rsidR="005F0BCA" w:rsidRPr="005F0BCA">
        <w:rPr>
          <w:iCs/>
          <w:szCs w:val="22"/>
          <w:lang w:val="uk-UA"/>
        </w:rPr>
        <w:t xml:space="preserve"> не передбачено виплати винагороди опціонами, базовими активами яких є акції Товариства, акціями Товариства та іншими негрошовими виплатами.</w:t>
      </w:r>
    </w:p>
    <w:p w:rsidR="005F0BCA" w:rsidRPr="00B6008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iCs/>
          <w:szCs w:val="22"/>
          <w:lang w:val="uk-UA"/>
        </w:rPr>
        <w:t>У разі необхідності, питання щодо особливостей додаткового пенсійного забезпечення та схеми дострокового виходу Голови та/або членів Правління</w:t>
      </w:r>
      <w:r w:rsidR="002939E4">
        <w:rPr>
          <w:iCs/>
          <w:szCs w:val="22"/>
          <w:lang w:val="uk-UA"/>
        </w:rPr>
        <w:t>, ключових осіб</w:t>
      </w:r>
      <w:r w:rsidRPr="005F0BCA">
        <w:rPr>
          <w:iCs/>
          <w:szCs w:val="22"/>
          <w:lang w:val="uk-UA"/>
        </w:rPr>
        <w:t xml:space="preserve"> на пенсію розглядаються Наглядовою радою Товариства.</w:t>
      </w:r>
    </w:p>
    <w:p w:rsidR="00B6008A" w:rsidRDefault="00B6008A" w:rsidP="00BF7DEA">
      <w:pPr>
        <w:pStyle w:val="rvps2"/>
        <w:numPr>
          <w:ilvl w:val="1"/>
          <w:numId w:val="1"/>
        </w:numPr>
        <w:spacing w:line="276" w:lineRule="auto"/>
        <w:ind w:left="567" w:hanging="567"/>
        <w:rPr>
          <w:rStyle w:val="spanrvts0"/>
          <w:lang w:val="uk" w:eastAsia="uk"/>
        </w:rPr>
      </w:pPr>
      <w:r>
        <w:rPr>
          <w:lang w:val="uk-UA"/>
        </w:rPr>
        <w:lastRenderedPageBreak/>
        <w:t>Ц</w:t>
      </w:r>
      <w:r w:rsidR="00B838DF">
        <w:rPr>
          <w:lang w:val="uk-UA"/>
        </w:rPr>
        <w:t>им Положенням</w:t>
      </w:r>
      <w:r>
        <w:rPr>
          <w:lang w:val="uk-UA"/>
        </w:rPr>
        <w:t xml:space="preserve"> встановлюється </w:t>
      </w:r>
      <w:r>
        <w:rPr>
          <w:rStyle w:val="spanrvts0"/>
          <w:lang w:val="uk" w:eastAsia="uk"/>
        </w:rPr>
        <w:t>необхідність дотримання принципу рівної оплати праці працівників чоловічої та жіночої статі з однаковим професійними досвідом та рівнем за рівну роботу або роботу однакової цінності.</w:t>
      </w:r>
    </w:p>
    <w:p w:rsidR="00B6008A" w:rsidRPr="00B6008A" w:rsidRDefault="00B6008A" w:rsidP="00BF7DEA">
      <w:pPr>
        <w:spacing w:before="0" w:line="276" w:lineRule="auto"/>
        <w:jc w:val="both"/>
        <w:rPr>
          <w:lang w:val="uk-UA"/>
        </w:rPr>
      </w:pPr>
    </w:p>
    <w:p w:rsidR="00D979D6" w:rsidRPr="005F0BCA" w:rsidRDefault="005F0BCA" w:rsidP="00BF7DEA">
      <w:pPr>
        <w:pStyle w:val="a7"/>
        <w:numPr>
          <w:ilvl w:val="0"/>
          <w:numId w:val="1"/>
        </w:numPr>
        <w:spacing w:before="0" w:line="276" w:lineRule="auto"/>
        <w:contextualSpacing w:val="0"/>
        <w:jc w:val="both"/>
        <w:rPr>
          <w:b/>
          <w:lang w:val="uk-UA"/>
        </w:rPr>
      </w:pPr>
      <w:r w:rsidRPr="005F0BCA">
        <w:rPr>
          <w:b/>
          <w:lang w:val="uk-UA"/>
        </w:rPr>
        <w:t>ПОРЯДОК ВИПЛАТИ ВИНАГОРОДИ ГОЛОВІ ТА ЧЛЕНАМ ПРАВЛІННЯ</w:t>
      </w:r>
      <w:r w:rsidR="00D32F67">
        <w:rPr>
          <w:b/>
          <w:lang w:val="uk-UA"/>
        </w:rPr>
        <w:t>, К</w:t>
      </w:r>
      <w:r w:rsidR="002B7E65">
        <w:rPr>
          <w:b/>
          <w:lang w:val="uk-UA"/>
        </w:rPr>
        <w:t>ЛЮЧОМ ОСОБАМ</w:t>
      </w:r>
    </w:p>
    <w:p w:rsidR="00D979D6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lang w:val="uk-UA"/>
        </w:rPr>
        <w:t>Винагорода виплачується в національній валюті України – гривні, шляхом безготівково перерахування грошових коштів на рахунки Голови та членів Правління, зазначений в реквізитах трудових контрактів</w:t>
      </w:r>
      <w:r w:rsidR="00D979D6" w:rsidRPr="005F0BCA">
        <w:rPr>
          <w:lang w:val="uk-UA"/>
        </w:rPr>
        <w:t>.</w:t>
      </w:r>
    </w:p>
    <w:p w:rsidR="00D979D6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lang w:val="uk-UA"/>
        </w:rPr>
        <w:t xml:space="preserve">При здійсненні виплати грошової винагороди, Товариство із суми винагороди утримує та сплачує всі необхідні податки, збори, </w:t>
      </w:r>
      <w:r w:rsidRPr="005F0BCA">
        <w:rPr>
          <w:bCs/>
          <w:lang w:val="uk-UA"/>
        </w:rPr>
        <w:t>обов’язкові платежі (включаючи податки, збори та обов’язкові платежі, що підлягають сплаті фізичною особою – платником податків/зборів) відповідно до чинного законодавства України</w:t>
      </w:r>
      <w:r w:rsidR="00D979D6" w:rsidRPr="005F0BCA">
        <w:rPr>
          <w:lang w:val="uk-UA"/>
        </w:rPr>
        <w:t>.</w:t>
      </w:r>
    </w:p>
    <w:p w:rsidR="00D979D6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lang w:val="uk-UA"/>
        </w:rPr>
        <w:t xml:space="preserve">У випадку дострокового припинення повноважень Голови або члена Правління, </w:t>
      </w:r>
      <w:r w:rsidR="00553715">
        <w:rPr>
          <w:lang w:val="uk-UA"/>
        </w:rPr>
        <w:t xml:space="preserve">ключової особи </w:t>
      </w:r>
      <w:r w:rsidRPr="005F0BCA">
        <w:rPr>
          <w:lang w:val="uk-UA"/>
        </w:rPr>
        <w:t xml:space="preserve">з яким укладено </w:t>
      </w:r>
      <w:r w:rsidR="0066768E">
        <w:rPr>
          <w:lang w:val="uk-UA"/>
        </w:rPr>
        <w:t xml:space="preserve">трудовий контракт, </w:t>
      </w:r>
      <w:r w:rsidRPr="005F0BCA">
        <w:rPr>
          <w:lang w:val="uk-UA"/>
        </w:rPr>
        <w:t xml:space="preserve">винагорода розраховується та виплачується </w:t>
      </w:r>
      <w:proofErr w:type="spellStart"/>
      <w:r w:rsidRPr="005F0BCA">
        <w:rPr>
          <w:lang w:val="uk-UA"/>
        </w:rPr>
        <w:t>пропорційно</w:t>
      </w:r>
      <w:proofErr w:type="spellEnd"/>
      <w:r w:rsidRPr="005F0BCA">
        <w:rPr>
          <w:lang w:val="uk-UA"/>
        </w:rPr>
        <w:t xml:space="preserve"> строку (кількості календарних днів), протягом якого Голова або член Правління</w:t>
      </w:r>
      <w:r w:rsidR="0066768E">
        <w:rPr>
          <w:lang w:val="uk-UA"/>
        </w:rPr>
        <w:t>, ключова особа</w:t>
      </w:r>
      <w:r w:rsidRPr="005F0BCA">
        <w:rPr>
          <w:lang w:val="uk-UA"/>
        </w:rPr>
        <w:t xml:space="preserve"> виконував свої повноваження, у день припинення його повноважень</w:t>
      </w:r>
      <w:r w:rsidR="00765F7F" w:rsidRPr="005F0BCA">
        <w:rPr>
          <w:lang w:val="uk-UA"/>
        </w:rPr>
        <w:t>.</w:t>
      </w:r>
    </w:p>
    <w:p w:rsidR="003E2BAF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lang w:val="uk-UA"/>
        </w:rPr>
        <w:t>Виплата винагороди здійснюється Товариством у строки, визначені трудовим контрактом</w:t>
      </w:r>
      <w:r w:rsidR="003E2BAF" w:rsidRPr="005F0BCA">
        <w:rPr>
          <w:lang w:val="uk-UA"/>
        </w:rPr>
        <w:t>.</w:t>
      </w:r>
    </w:p>
    <w:p w:rsidR="003E2BAF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lang w:val="uk-UA"/>
        </w:rPr>
        <w:t>Змінна винагорода, передбачена цим Положенням, виплачується Голові та/або членам Правління</w:t>
      </w:r>
      <w:r w:rsidR="0066768E">
        <w:rPr>
          <w:lang w:val="uk-UA"/>
        </w:rPr>
        <w:t>, ключової особі</w:t>
      </w:r>
      <w:r w:rsidRPr="005F0BCA">
        <w:rPr>
          <w:lang w:val="uk-UA"/>
        </w:rPr>
        <w:t xml:space="preserve"> в порядку та строки, визначені рішенням Наглядової ради, з урахуванням вимог чинного законодавства України</w:t>
      </w:r>
      <w:r w:rsidR="00486EB4" w:rsidRPr="005F0BCA">
        <w:rPr>
          <w:lang w:val="uk-UA"/>
        </w:rPr>
        <w:t>.</w:t>
      </w:r>
    </w:p>
    <w:p w:rsidR="00486EB4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lang w:val="uk-UA"/>
        </w:rPr>
      </w:pPr>
      <w:r w:rsidRPr="005F0BCA">
        <w:rPr>
          <w:lang w:val="uk-UA"/>
        </w:rPr>
        <w:t>У випадку дострокового припинення повноважень Голови або членів Правління</w:t>
      </w:r>
      <w:r w:rsidR="0066768E">
        <w:rPr>
          <w:lang w:val="uk-UA"/>
        </w:rPr>
        <w:t>, ключової особи</w:t>
      </w:r>
      <w:r w:rsidRPr="005F0BCA">
        <w:rPr>
          <w:lang w:val="uk-UA"/>
        </w:rPr>
        <w:t xml:space="preserve"> з ініціативи Наглядової ради Товариства, Наглядовою радою може бути прийнято рішення про здійснення виплат зі звільнення, компенсаційних та інших виплат членам Правління</w:t>
      </w:r>
      <w:r w:rsidR="0066768E">
        <w:rPr>
          <w:lang w:val="uk-UA"/>
        </w:rPr>
        <w:t>, ключової особі</w:t>
      </w:r>
      <w:r w:rsidR="0039707E" w:rsidRPr="005F0BCA">
        <w:rPr>
          <w:lang w:val="uk-UA"/>
        </w:rPr>
        <w:t>.</w:t>
      </w:r>
    </w:p>
    <w:p w:rsidR="00BF7DEA" w:rsidRPr="005F0BCA" w:rsidRDefault="00BF7DEA" w:rsidP="00BF7DEA">
      <w:pPr>
        <w:pStyle w:val="a7"/>
        <w:spacing w:before="0" w:line="276" w:lineRule="auto"/>
        <w:ind w:left="567"/>
        <w:contextualSpacing w:val="0"/>
        <w:jc w:val="both"/>
        <w:rPr>
          <w:lang w:val="uk-UA"/>
        </w:rPr>
      </w:pPr>
    </w:p>
    <w:p w:rsidR="00D979D6" w:rsidRPr="00BF7DEA" w:rsidRDefault="005F0BCA" w:rsidP="00BF7DEA">
      <w:pPr>
        <w:pStyle w:val="a7"/>
        <w:numPr>
          <w:ilvl w:val="0"/>
          <w:numId w:val="1"/>
        </w:numPr>
        <w:spacing w:before="0" w:line="276" w:lineRule="auto"/>
        <w:contextualSpacing w:val="0"/>
        <w:jc w:val="both"/>
        <w:rPr>
          <w:b/>
          <w:lang w:val="uk-UA"/>
        </w:rPr>
      </w:pPr>
      <w:r w:rsidRPr="00BF7DEA">
        <w:rPr>
          <w:b/>
          <w:iCs/>
          <w:szCs w:val="22"/>
          <w:lang w:val="uk-UA"/>
        </w:rPr>
        <w:t>ЗВІТ ПРО ВИНАГОРОДУ</w:t>
      </w:r>
    </w:p>
    <w:p w:rsidR="00D979D6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noProof/>
          <w:lang w:val="uk-UA"/>
        </w:rPr>
      </w:pPr>
      <w:r w:rsidRPr="005F0BCA">
        <w:rPr>
          <w:iCs/>
          <w:szCs w:val="22"/>
          <w:lang w:val="uk-UA"/>
        </w:rPr>
        <w:t>За підсумками звітного року Правлінням складається звіт про винагороду членів Правління, який виноситься для затвердження на Загальні збори акціонерів</w:t>
      </w:r>
      <w:r w:rsidR="001C2E66" w:rsidRPr="005F0BCA">
        <w:rPr>
          <w:noProof/>
          <w:lang w:val="uk-UA"/>
        </w:rPr>
        <w:t>.</w:t>
      </w:r>
    </w:p>
    <w:p w:rsidR="001C2E66" w:rsidRPr="005F0BC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noProof/>
          <w:lang w:val="uk-UA"/>
        </w:rPr>
      </w:pPr>
      <w:r w:rsidRPr="005F0BCA">
        <w:rPr>
          <w:iCs/>
          <w:szCs w:val="22"/>
          <w:lang w:val="uk-UA"/>
        </w:rPr>
        <w:t>Звіт про винагороду членів Правління за своїм змістом має відповідати вимогам, встановленим чинним законодавством України</w:t>
      </w:r>
      <w:r w:rsidR="001C2E66" w:rsidRPr="005F0BCA">
        <w:rPr>
          <w:lang w:val="uk-UA"/>
        </w:rPr>
        <w:t>.</w:t>
      </w:r>
    </w:p>
    <w:p w:rsidR="00B6008A" w:rsidRPr="00B6008A" w:rsidRDefault="005F0BCA" w:rsidP="00BF7DEA">
      <w:pPr>
        <w:pStyle w:val="a7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noProof/>
          <w:lang w:val="uk-UA"/>
        </w:rPr>
      </w:pPr>
      <w:r w:rsidRPr="005F0BCA">
        <w:rPr>
          <w:iCs/>
          <w:szCs w:val="22"/>
          <w:lang w:val="uk-UA"/>
        </w:rPr>
        <w:t xml:space="preserve">Звіт про винагороду членів Правління має містити </w:t>
      </w:r>
      <w:r w:rsidR="00B6008A">
        <w:rPr>
          <w:iCs/>
          <w:szCs w:val="22"/>
          <w:lang w:val="uk-UA"/>
        </w:rPr>
        <w:t>інформацію щодо:</w:t>
      </w:r>
    </w:p>
    <w:p w:rsidR="00BF7DEA" w:rsidRPr="00BF7DEA" w:rsidRDefault="00BF7DEA" w:rsidP="00BF7DEA">
      <w:pPr>
        <w:pStyle w:val="a7"/>
        <w:spacing w:before="0" w:line="276" w:lineRule="auto"/>
        <w:ind w:left="567"/>
        <w:jc w:val="both"/>
        <w:rPr>
          <w:noProof/>
          <w:lang w:val="uk-UA"/>
        </w:rPr>
      </w:pPr>
      <w:r w:rsidRPr="00BF7DEA">
        <w:rPr>
          <w:noProof/>
          <w:lang w:val="uk-UA"/>
        </w:rPr>
        <w:t xml:space="preserve">1) сум винагороди, які були та/або мають бути виплачені членам </w:t>
      </w:r>
      <w:r>
        <w:rPr>
          <w:noProof/>
          <w:lang w:val="uk-UA"/>
        </w:rPr>
        <w:t>Правління</w:t>
      </w:r>
      <w:r w:rsidRPr="00BF7DEA">
        <w:rPr>
          <w:noProof/>
          <w:lang w:val="uk-UA"/>
        </w:rPr>
        <w:t xml:space="preserve"> за результатами звітного фінансового року (у розрізі фіксованих і змінних складових винагороди);</w:t>
      </w:r>
    </w:p>
    <w:p w:rsidR="00BF7DEA" w:rsidRPr="00BF7DEA" w:rsidRDefault="00BF7DEA" w:rsidP="00BF7DEA">
      <w:pPr>
        <w:pStyle w:val="a7"/>
        <w:spacing w:before="0" w:line="276" w:lineRule="auto"/>
        <w:ind w:left="567"/>
        <w:jc w:val="both"/>
        <w:rPr>
          <w:noProof/>
          <w:lang w:val="uk-UA"/>
        </w:rPr>
      </w:pPr>
      <w:r w:rsidRPr="00BF7DEA">
        <w:rPr>
          <w:noProof/>
          <w:lang w:val="uk-UA"/>
        </w:rPr>
        <w:t>2) строків фактичної виплати винагороди;</w:t>
      </w:r>
    </w:p>
    <w:p w:rsidR="00BF7DEA" w:rsidRPr="00BF7DEA" w:rsidRDefault="00BF7DEA" w:rsidP="00BF7DEA">
      <w:pPr>
        <w:pStyle w:val="a7"/>
        <w:spacing w:before="0" w:line="276" w:lineRule="auto"/>
        <w:ind w:left="567"/>
        <w:jc w:val="both"/>
        <w:rPr>
          <w:noProof/>
          <w:lang w:val="uk-UA"/>
        </w:rPr>
      </w:pPr>
      <w:r w:rsidRPr="00BF7DEA">
        <w:rPr>
          <w:noProof/>
          <w:lang w:val="uk-UA"/>
        </w:rPr>
        <w:t xml:space="preserve">3) повного опису структури всіх складових винагороди, які мають бути виплачені членам </w:t>
      </w:r>
      <w:r>
        <w:rPr>
          <w:noProof/>
          <w:lang w:val="uk-UA"/>
        </w:rPr>
        <w:t>Правління</w:t>
      </w:r>
      <w:r w:rsidRPr="00BF7DEA">
        <w:rPr>
          <w:noProof/>
          <w:lang w:val="uk-UA"/>
        </w:rPr>
        <w:t>;</w:t>
      </w:r>
    </w:p>
    <w:p w:rsidR="00BF7DEA" w:rsidRPr="00BF7DEA" w:rsidRDefault="00BF7DEA" w:rsidP="00BF7DEA">
      <w:pPr>
        <w:pStyle w:val="a7"/>
        <w:spacing w:before="0" w:line="276" w:lineRule="auto"/>
        <w:ind w:left="567"/>
        <w:jc w:val="both"/>
        <w:rPr>
          <w:noProof/>
          <w:lang w:val="uk-UA"/>
        </w:rPr>
      </w:pPr>
      <w:r w:rsidRPr="00BF7DEA">
        <w:rPr>
          <w:noProof/>
          <w:lang w:val="uk-UA"/>
        </w:rPr>
        <w:t>4) критеріїв оцінки ефективності (із зазначенням того, яким чином вони були досягнуті), за результатами досягнення яких здійснено нарахування змінної винагороди (якщо змінна винагорода була нарахована);</w:t>
      </w:r>
    </w:p>
    <w:p w:rsidR="00BF7DEA" w:rsidRPr="00BF7DEA" w:rsidRDefault="00BF7DEA" w:rsidP="00BF7DEA">
      <w:pPr>
        <w:pStyle w:val="a7"/>
        <w:spacing w:before="0" w:line="276" w:lineRule="auto"/>
        <w:ind w:left="567"/>
        <w:jc w:val="both"/>
        <w:rPr>
          <w:noProof/>
          <w:lang w:val="uk-UA"/>
        </w:rPr>
      </w:pPr>
      <w:r w:rsidRPr="00BF7DEA">
        <w:rPr>
          <w:noProof/>
          <w:lang w:val="uk-UA"/>
        </w:rPr>
        <w:t xml:space="preserve">5) фактів використання </w:t>
      </w:r>
      <w:r>
        <w:rPr>
          <w:noProof/>
          <w:lang w:val="uk-UA"/>
        </w:rPr>
        <w:t>Товариством</w:t>
      </w:r>
      <w:r w:rsidRPr="00BF7DEA">
        <w:rPr>
          <w:noProof/>
          <w:lang w:val="uk-UA"/>
        </w:rPr>
        <w:t xml:space="preserve"> права на повернення раніше виплаченої членам </w:t>
      </w:r>
      <w:r>
        <w:rPr>
          <w:noProof/>
          <w:lang w:val="uk-UA"/>
        </w:rPr>
        <w:t>Правління</w:t>
      </w:r>
      <w:r w:rsidRPr="00BF7DEA">
        <w:rPr>
          <w:noProof/>
          <w:lang w:val="uk-UA"/>
        </w:rPr>
        <w:t xml:space="preserve"> винагороди;</w:t>
      </w:r>
    </w:p>
    <w:p w:rsidR="00BF7DEA" w:rsidRPr="00BF7DEA" w:rsidRDefault="00BF7DEA" w:rsidP="00BF7DEA">
      <w:pPr>
        <w:pStyle w:val="a7"/>
        <w:spacing w:before="0" w:line="276" w:lineRule="auto"/>
        <w:ind w:left="567"/>
        <w:jc w:val="both"/>
        <w:rPr>
          <w:noProof/>
          <w:lang w:val="uk-UA"/>
        </w:rPr>
      </w:pPr>
      <w:r w:rsidRPr="00BF7DEA">
        <w:rPr>
          <w:noProof/>
          <w:lang w:val="uk-UA"/>
        </w:rPr>
        <w:t>6) учасників запровадження системи винагороди</w:t>
      </w:r>
      <w:r>
        <w:rPr>
          <w:noProof/>
          <w:lang w:val="uk-UA"/>
        </w:rPr>
        <w:t xml:space="preserve"> (</w:t>
      </w:r>
      <w:r w:rsidRPr="00BF7DEA">
        <w:rPr>
          <w:noProof/>
          <w:lang w:val="uk-UA"/>
        </w:rPr>
        <w:t>повноваження та склад комітету з питань винагороди та призначень (у разі його створення)</w:t>
      </w:r>
      <w:r>
        <w:rPr>
          <w:noProof/>
          <w:lang w:val="uk-UA"/>
        </w:rPr>
        <w:t xml:space="preserve">, </w:t>
      </w:r>
      <w:r w:rsidRPr="00BF7DEA">
        <w:rPr>
          <w:noProof/>
          <w:lang w:val="uk-UA"/>
        </w:rPr>
        <w:t xml:space="preserve"> найменування/прізвища, власні </w:t>
      </w:r>
      <w:r w:rsidRPr="00BF7DEA">
        <w:rPr>
          <w:noProof/>
          <w:lang w:val="uk-UA"/>
        </w:rPr>
        <w:lastRenderedPageBreak/>
        <w:t>імена, по батькові (за наявності) зовнішніх консультантів</w:t>
      </w:r>
      <w:r>
        <w:rPr>
          <w:noProof/>
          <w:lang w:val="uk-UA"/>
        </w:rPr>
        <w:t xml:space="preserve">, </w:t>
      </w:r>
      <w:r w:rsidRPr="00BF7DEA">
        <w:rPr>
          <w:noProof/>
          <w:lang w:val="uk-UA"/>
        </w:rPr>
        <w:t xml:space="preserve">ролі акціонерів </w:t>
      </w:r>
      <w:r>
        <w:rPr>
          <w:noProof/>
          <w:lang w:val="uk-UA"/>
        </w:rPr>
        <w:t>Товариства</w:t>
      </w:r>
      <w:r w:rsidRPr="00BF7DEA">
        <w:rPr>
          <w:noProof/>
          <w:lang w:val="uk-UA"/>
        </w:rPr>
        <w:t xml:space="preserve"> в процесі запровадження системи винагороди</w:t>
      </w:r>
      <w:r>
        <w:rPr>
          <w:noProof/>
          <w:lang w:val="uk-UA"/>
        </w:rPr>
        <w:t>)</w:t>
      </w:r>
      <w:r w:rsidRPr="00BF7DEA">
        <w:rPr>
          <w:noProof/>
          <w:lang w:val="uk-UA"/>
        </w:rPr>
        <w:t>;</w:t>
      </w:r>
    </w:p>
    <w:p w:rsidR="00B6008A" w:rsidRPr="00B6008A" w:rsidRDefault="00BF7DEA" w:rsidP="00BF7DEA">
      <w:pPr>
        <w:pStyle w:val="a7"/>
        <w:spacing w:before="0" w:line="276" w:lineRule="auto"/>
        <w:ind w:left="567"/>
        <w:contextualSpacing w:val="0"/>
        <w:jc w:val="both"/>
        <w:rPr>
          <w:noProof/>
          <w:lang w:val="uk-UA"/>
        </w:rPr>
      </w:pPr>
      <w:r w:rsidRPr="00BF7DEA">
        <w:rPr>
          <w:noProof/>
          <w:lang w:val="uk-UA"/>
        </w:rPr>
        <w:t>7) програми стимулювання, що включає відомості про програми додаткового пенсійного забезпечення (за наявності) у разі їх застосування протягом звітного року.</w:t>
      </w:r>
    </w:p>
    <w:p w:rsidR="00BF7DEA" w:rsidRDefault="00BF7DEA" w:rsidP="00BF7DEA">
      <w:pPr>
        <w:pStyle w:val="rvps2"/>
        <w:numPr>
          <w:ilvl w:val="1"/>
          <w:numId w:val="1"/>
        </w:numPr>
        <w:spacing w:line="276" w:lineRule="auto"/>
        <w:ind w:left="567" w:hanging="567"/>
        <w:rPr>
          <w:rStyle w:val="spanrvts0"/>
          <w:lang w:val="uk" w:eastAsia="uk"/>
        </w:rPr>
      </w:pPr>
      <w:r>
        <w:rPr>
          <w:rStyle w:val="spanrvts0"/>
          <w:lang w:val="uk" w:eastAsia="uk"/>
        </w:rPr>
        <w:t>Звіт про винагороду повинен містити таку інформацію щодо виплат у грошовій формі, здійснених на користь членів Правління у звітному фінансовому році:</w:t>
      </w:r>
    </w:p>
    <w:p w:rsidR="00BF7DEA" w:rsidRDefault="00BF7DEA" w:rsidP="00BF7DEA">
      <w:pPr>
        <w:pStyle w:val="rvps2"/>
        <w:spacing w:line="276" w:lineRule="auto"/>
        <w:ind w:left="360" w:firstLine="0"/>
        <w:rPr>
          <w:rStyle w:val="spanrvts0"/>
          <w:lang w:val="uk" w:eastAsia="uk"/>
        </w:rPr>
      </w:pPr>
      <w:bookmarkStart w:id="0" w:name="n318"/>
      <w:bookmarkEnd w:id="0"/>
      <w:r>
        <w:rPr>
          <w:rStyle w:val="spanrvts0"/>
          <w:lang w:val="uk" w:eastAsia="uk"/>
        </w:rPr>
        <w:t>1) загальну суму коштів, виплачену Товариством у звітному фінансовому році, включаючи інформацію про суму виплат як винагороду за попередній фінансовий рік;</w:t>
      </w:r>
    </w:p>
    <w:p w:rsidR="00BF7DEA" w:rsidRDefault="00BF7DEA" w:rsidP="00BF7DEA">
      <w:pPr>
        <w:pStyle w:val="rvps2"/>
        <w:spacing w:line="276" w:lineRule="auto"/>
        <w:ind w:left="360" w:firstLine="0"/>
        <w:rPr>
          <w:rStyle w:val="spanrvts0"/>
          <w:lang w:val="uk" w:eastAsia="uk"/>
        </w:rPr>
      </w:pPr>
      <w:bookmarkStart w:id="1" w:name="n319"/>
      <w:bookmarkEnd w:id="1"/>
      <w:r>
        <w:rPr>
          <w:rStyle w:val="spanrvts0"/>
          <w:lang w:val="uk" w:eastAsia="uk"/>
        </w:rPr>
        <w:t>2) суми коштів, виплачених Товариством як змінна винагорода (щодо кожного виду змінної винагороди), і підстави їх виплати;</w:t>
      </w:r>
    </w:p>
    <w:p w:rsidR="00BF7DEA" w:rsidRDefault="00BF7DEA" w:rsidP="00BF7DEA">
      <w:pPr>
        <w:pStyle w:val="rvps2"/>
        <w:spacing w:line="276" w:lineRule="auto"/>
        <w:ind w:left="360" w:firstLine="0"/>
        <w:rPr>
          <w:rStyle w:val="spanrvts0"/>
          <w:lang w:val="uk" w:eastAsia="uk"/>
        </w:rPr>
      </w:pPr>
      <w:bookmarkStart w:id="2" w:name="n320"/>
      <w:bookmarkEnd w:id="2"/>
      <w:r>
        <w:rPr>
          <w:rStyle w:val="spanrvts0"/>
          <w:lang w:val="uk" w:eastAsia="uk"/>
        </w:rPr>
        <w:t>3) суми коштів, виплачених Товариством як додаткова винагорода за виконання роботи поза межами звичайних функцій;</w:t>
      </w:r>
    </w:p>
    <w:p w:rsidR="00BF7DEA" w:rsidRDefault="00BF7DEA" w:rsidP="00BF7DEA">
      <w:pPr>
        <w:pStyle w:val="rvps2"/>
        <w:spacing w:line="276" w:lineRule="auto"/>
        <w:ind w:left="360" w:firstLine="0"/>
        <w:rPr>
          <w:rStyle w:val="spanrvts0"/>
          <w:lang w:val="uk" w:eastAsia="uk"/>
        </w:rPr>
      </w:pPr>
      <w:bookmarkStart w:id="3" w:name="n321"/>
      <w:bookmarkEnd w:id="3"/>
      <w:r>
        <w:rPr>
          <w:rStyle w:val="spanrvts0"/>
          <w:lang w:val="uk" w:eastAsia="uk"/>
        </w:rPr>
        <w:t>4) суми виплат зі звільнення;</w:t>
      </w:r>
    </w:p>
    <w:p w:rsidR="00BF7DEA" w:rsidRDefault="00BF7DEA" w:rsidP="00BF7DEA">
      <w:pPr>
        <w:pStyle w:val="rvps2"/>
        <w:numPr>
          <w:ilvl w:val="1"/>
          <w:numId w:val="1"/>
        </w:numPr>
        <w:spacing w:line="276" w:lineRule="auto"/>
        <w:ind w:left="426" w:hanging="426"/>
        <w:rPr>
          <w:rStyle w:val="spanrvts0"/>
          <w:lang w:val="uk" w:eastAsia="uk"/>
        </w:rPr>
      </w:pPr>
      <w:bookmarkStart w:id="4" w:name="n322"/>
      <w:bookmarkStart w:id="5" w:name="n323"/>
      <w:bookmarkEnd w:id="4"/>
      <w:bookmarkEnd w:id="5"/>
      <w:r>
        <w:rPr>
          <w:rStyle w:val="spanrvts0"/>
          <w:lang w:val="uk" w:eastAsia="uk"/>
        </w:rPr>
        <w:t xml:space="preserve">Звіт про винагороду повинен містити таку інформацію щодо винагороди у формі участі членів Правління в програмі пенсійного забезпечення (за наявності такої програми) з фіксованими виплатами щодо: </w:t>
      </w:r>
    </w:p>
    <w:p w:rsidR="00BF7DEA" w:rsidRDefault="00BF7DEA" w:rsidP="00BF7DEA">
      <w:pPr>
        <w:pStyle w:val="rvps2"/>
        <w:spacing w:line="276" w:lineRule="auto"/>
        <w:ind w:left="360" w:firstLine="0"/>
        <w:rPr>
          <w:rStyle w:val="spanrvts0"/>
          <w:lang w:val="uk" w:eastAsia="uk"/>
        </w:rPr>
      </w:pPr>
      <w:bookmarkStart w:id="6" w:name="n324"/>
      <w:bookmarkEnd w:id="6"/>
      <w:r>
        <w:rPr>
          <w:rStyle w:val="spanrvts0"/>
          <w:lang w:val="uk" w:eastAsia="uk"/>
        </w:rPr>
        <w:t>1) змін у запланованих виплатах, що відбулися протягом звітного фінансового року;</w:t>
      </w:r>
    </w:p>
    <w:p w:rsidR="00BF7DEA" w:rsidRDefault="00BF7DEA" w:rsidP="00BF7DEA">
      <w:pPr>
        <w:pStyle w:val="rvps2"/>
        <w:spacing w:line="276" w:lineRule="auto"/>
        <w:ind w:left="360" w:firstLine="0"/>
        <w:rPr>
          <w:rStyle w:val="spanrvts0"/>
          <w:lang w:val="uk" w:eastAsia="uk"/>
        </w:rPr>
      </w:pPr>
      <w:bookmarkStart w:id="7" w:name="n325"/>
      <w:bookmarkEnd w:id="7"/>
      <w:r>
        <w:rPr>
          <w:rStyle w:val="spanrvts0"/>
          <w:lang w:val="uk" w:eastAsia="uk"/>
        </w:rPr>
        <w:t>2) сплачених Товариством внесків стосовно членів Правління протягом звітного фінансового року.</w:t>
      </w:r>
    </w:p>
    <w:p w:rsidR="00BF7DEA" w:rsidRDefault="00BF7DEA" w:rsidP="00BF7DEA">
      <w:pPr>
        <w:pStyle w:val="rvps2"/>
        <w:numPr>
          <w:ilvl w:val="1"/>
          <w:numId w:val="1"/>
        </w:numPr>
        <w:spacing w:line="276" w:lineRule="auto"/>
        <w:ind w:left="426" w:hanging="426"/>
        <w:rPr>
          <w:rStyle w:val="spanrvts0"/>
          <w:lang w:val="uk" w:eastAsia="uk"/>
        </w:rPr>
      </w:pPr>
      <w:bookmarkStart w:id="8" w:name="n326"/>
      <w:bookmarkEnd w:id="8"/>
      <w:r>
        <w:rPr>
          <w:rStyle w:val="spanrvts0"/>
          <w:lang w:val="uk" w:eastAsia="uk"/>
        </w:rPr>
        <w:t>Звіт про винагороду повинен містити інформацію щодо надання/зміни/погашення/припинення/користування/продовження строку дії договорів Товариством протягом звітного календарного року позик, кредитів/безповоротних фінансових допомог/безоплатного користування активами Товариства або гарантій членам Правління (із зазначенням сум і відсоткових ставок).</w:t>
      </w:r>
    </w:p>
    <w:p w:rsidR="00BF7DEA" w:rsidRDefault="00BF7DEA" w:rsidP="00BF7DEA">
      <w:pPr>
        <w:pStyle w:val="rvps2"/>
        <w:numPr>
          <w:ilvl w:val="1"/>
          <w:numId w:val="1"/>
        </w:numPr>
        <w:spacing w:line="276" w:lineRule="auto"/>
        <w:ind w:left="426" w:hanging="426"/>
        <w:rPr>
          <w:rStyle w:val="spanrvts0"/>
          <w:lang w:val="uk" w:eastAsia="uk"/>
        </w:rPr>
      </w:pPr>
      <w:bookmarkStart w:id="9" w:name="n327"/>
      <w:bookmarkStart w:id="10" w:name="n328"/>
      <w:bookmarkEnd w:id="9"/>
      <w:bookmarkEnd w:id="10"/>
      <w:r>
        <w:rPr>
          <w:rStyle w:val="spanrvts0"/>
          <w:lang w:val="uk" w:eastAsia="uk"/>
        </w:rPr>
        <w:t>Наглядова рада затверджує звіти про винагороду членів Правління за поданням і після їх розгляду комітетом з питань винагороди та призначень (якщо такий комітет у Товаристві створено).</w:t>
      </w:r>
    </w:p>
    <w:p w:rsidR="00BF7DEA" w:rsidRDefault="00BF7DEA" w:rsidP="00BF7DEA">
      <w:pPr>
        <w:pStyle w:val="rvps2"/>
        <w:spacing w:line="276" w:lineRule="auto"/>
        <w:ind w:left="426" w:firstLine="0"/>
        <w:rPr>
          <w:rStyle w:val="spanrvts0"/>
          <w:lang w:val="uk" w:eastAsia="uk"/>
        </w:rPr>
      </w:pPr>
    </w:p>
    <w:p w:rsidR="00DE632B" w:rsidRPr="00553477" w:rsidRDefault="00D979D6" w:rsidP="00BF7DEA">
      <w:pPr>
        <w:pStyle w:val="a7"/>
        <w:numPr>
          <w:ilvl w:val="0"/>
          <w:numId w:val="1"/>
        </w:numPr>
        <w:spacing w:before="0" w:line="276" w:lineRule="auto"/>
        <w:contextualSpacing w:val="0"/>
        <w:jc w:val="both"/>
        <w:rPr>
          <w:noProof/>
          <w:lang w:val="uk-UA"/>
        </w:rPr>
      </w:pPr>
      <w:r w:rsidRPr="00553477">
        <w:rPr>
          <w:b/>
          <w:noProof/>
          <w:lang w:val="uk-UA"/>
        </w:rPr>
        <w:t>ЗАКЛЮЧНІ ПОЛОЖЕННЯ</w:t>
      </w:r>
    </w:p>
    <w:p w:rsidR="007E14D2" w:rsidRPr="00553477" w:rsidRDefault="005F0BCA" w:rsidP="00BF7DEA">
      <w:pPr>
        <w:pStyle w:val="a7"/>
        <w:widowControl w:val="0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rFonts w:eastAsia="Times New Roman"/>
          <w:lang w:val="uk-UA"/>
        </w:rPr>
      </w:pPr>
      <w:r w:rsidRPr="00553477">
        <w:rPr>
          <w:iCs/>
          <w:lang w:val="uk-UA"/>
        </w:rPr>
        <w:t>Ц</w:t>
      </w:r>
      <w:r w:rsidR="00B838DF" w:rsidRPr="00553477">
        <w:rPr>
          <w:iCs/>
          <w:lang w:val="uk-UA"/>
        </w:rPr>
        <w:t>е Положення</w:t>
      </w:r>
      <w:r w:rsidRPr="00553477">
        <w:rPr>
          <w:iCs/>
          <w:lang w:val="uk-UA"/>
        </w:rPr>
        <w:t xml:space="preserve"> набирає чинності з дати його затвердження Загальними зборами акціонерів</w:t>
      </w:r>
      <w:r w:rsidR="0066768E" w:rsidRPr="00553477">
        <w:rPr>
          <w:iCs/>
          <w:lang w:val="uk-UA"/>
        </w:rPr>
        <w:t xml:space="preserve"> Товариства</w:t>
      </w:r>
      <w:r w:rsidRPr="00553477">
        <w:rPr>
          <w:iCs/>
          <w:lang w:val="uk-UA"/>
        </w:rPr>
        <w:t xml:space="preserve"> і діє безстроково до моменту втрати ним чинності</w:t>
      </w:r>
      <w:r w:rsidR="00E31FC8" w:rsidRPr="00553477">
        <w:rPr>
          <w:rFonts w:eastAsia="Times New Roman"/>
          <w:lang w:val="uk-UA"/>
        </w:rPr>
        <w:t>.</w:t>
      </w:r>
    </w:p>
    <w:p w:rsidR="007E14D2" w:rsidRPr="00553477" w:rsidRDefault="00B838DF" w:rsidP="00BF7DEA">
      <w:pPr>
        <w:pStyle w:val="a7"/>
        <w:widowControl w:val="0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rFonts w:eastAsia="Times New Roman"/>
          <w:lang w:val="uk-UA"/>
        </w:rPr>
      </w:pPr>
      <w:r w:rsidRPr="00553477">
        <w:rPr>
          <w:iCs/>
          <w:lang w:val="uk-UA"/>
        </w:rPr>
        <w:t>Положення</w:t>
      </w:r>
      <w:r w:rsidR="005F0BCA" w:rsidRPr="00553477">
        <w:rPr>
          <w:iCs/>
          <w:lang w:val="uk-UA"/>
        </w:rPr>
        <w:t xml:space="preserve"> підлягає періодичному перегляду Загальними зборами акціонерів. Питання щодо доцільності внесення змін до ц</w:t>
      </w:r>
      <w:r w:rsidRPr="00553477">
        <w:rPr>
          <w:iCs/>
          <w:lang w:val="uk-UA"/>
        </w:rPr>
        <w:t>ього Положення</w:t>
      </w:r>
      <w:r w:rsidR="005F0BCA" w:rsidRPr="00553477">
        <w:rPr>
          <w:iCs/>
          <w:lang w:val="uk-UA"/>
        </w:rPr>
        <w:t xml:space="preserve"> розглядається Загальними зборами акціонерів. У разі наявності пропозиції щодо внесення змін до ц</w:t>
      </w:r>
      <w:r w:rsidRPr="00553477">
        <w:rPr>
          <w:iCs/>
          <w:lang w:val="uk-UA"/>
        </w:rPr>
        <w:t>ього Положення</w:t>
      </w:r>
      <w:r w:rsidR="005F0BCA" w:rsidRPr="00553477">
        <w:rPr>
          <w:iCs/>
          <w:lang w:val="uk-UA"/>
        </w:rPr>
        <w:t xml:space="preserve">, </w:t>
      </w:r>
      <w:r w:rsidR="00D64133" w:rsidRPr="00553477">
        <w:rPr>
          <w:iCs/>
          <w:lang w:val="uk-UA"/>
        </w:rPr>
        <w:t>З</w:t>
      </w:r>
      <w:r w:rsidR="005F0BCA" w:rsidRPr="00553477">
        <w:rPr>
          <w:iCs/>
          <w:lang w:val="uk-UA"/>
        </w:rPr>
        <w:t>агальним зборам акціонерів надається опис запропонованих змін до ц</w:t>
      </w:r>
      <w:r w:rsidRPr="00553477">
        <w:rPr>
          <w:iCs/>
          <w:lang w:val="uk-UA"/>
        </w:rPr>
        <w:t>ього Положення</w:t>
      </w:r>
      <w:r w:rsidR="00E31FC8" w:rsidRPr="00553477">
        <w:rPr>
          <w:rFonts w:eastAsia="Times New Roman"/>
          <w:lang w:val="uk-UA"/>
        </w:rPr>
        <w:t>.</w:t>
      </w:r>
    </w:p>
    <w:p w:rsidR="005F0BCA" w:rsidRPr="00553477" w:rsidRDefault="005F0BCA" w:rsidP="00BF7DEA">
      <w:pPr>
        <w:pStyle w:val="a7"/>
        <w:widowControl w:val="0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rFonts w:eastAsia="Times New Roman"/>
          <w:lang w:val="uk-UA"/>
        </w:rPr>
      </w:pPr>
      <w:r w:rsidRPr="00553477">
        <w:rPr>
          <w:iCs/>
          <w:lang w:val="uk-UA"/>
        </w:rPr>
        <w:t>Зміни та доповнення до ц</w:t>
      </w:r>
      <w:r w:rsidR="00B838DF" w:rsidRPr="00553477">
        <w:rPr>
          <w:iCs/>
          <w:lang w:val="uk-UA"/>
        </w:rPr>
        <w:t>ього Положення здійснюються</w:t>
      </w:r>
      <w:r w:rsidRPr="00553477">
        <w:rPr>
          <w:iCs/>
          <w:lang w:val="uk-UA"/>
        </w:rPr>
        <w:t xml:space="preserve"> шляхом викладення </w:t>
      </w:r>
      <w:r w:rsidR="00B838DF" w:rsidRPr="00553477">
        <w:rPr>
          <w:iCs/>
          <w:lang w:val="uk-UA"/>
        </w:rPr>
        <w:t>Положення</w:t>
      </w:r>
      <w:r w:rsidRPr="00553477">
        <w:rPr>
          <w:iCs/>
          <w:lang w:val="uk-UA"/>
        </w:rPr>
        <w:t xml:space="preserve"> в новій редакції.</w:t>
      </w:r>
    </w:p>
    <w:p w:rsidR="007E14D2" w:rsidRPr="00553477" w:rsidRDefault="00E31FC8" w:rsidP="00553477">
      <w:pPr>
        <w:pStyle w:val="a7"/>
        <w:widowControl w:val="0"/>
        <w:numPr>
          <w:ilvl w:val="1"/>
          <w:numId w:val="1"/>
        </w:numPr>
        <w:spacing w:before="0" w:line="276" w:lineRule="auto"/>
        <w:ind w:left="567" w:hanging="567"/>
        <w:contextualSpacing w:val="0"/>
        <w:jc w:val="both"/>
        <w:rPr>
          <w:rFonts w:eastAsia="Times New Roman"/>
          <w:lang w:val="uk-UA"/>
        </w:rPr>
      </w:pPr>
      <w:r w:rsidRPr="00553477">
        <w:rPr>
          <w:rFonts w:eastAsia="Times New Roman"/>
          <w:lang w:val="uk-UA"/>
        </w:rPr>
        <w:t>У разі невідповідності будь-якої частини ц</w:t>
      </w:r>
      <w:r w:rsidR="00B838DF" w:rsidRPr="00553477">
        <w:rPr>
          <w:rFonts w:eastAsia="Times New Roman"/>
          <w:lang w:val="uk-UA"/>
        </w:rPr>
        <w:t>ього Положення</w:t>
      </w:r>
      <w:r w:rsidRPr="00553477">
        <w:rPr>
          <w:rFonts w:eastAsia="Times New Roman"/>
          <w:lang w:val="uk-UA"/>
        </w:rPr>
        <w:t xml:space="preserve"> чинному законодавству України або нормативно-правовим актам Національного банку України та/або Національної комісії з цінних паперів та фондового ринку, у тому числі у зв’язку з прийняттям нових актів законодавства України або нових нормативно-правових актів відповідних регуляторів, або Статуту Товариства, зареєстрованому в новій редакції, ц</w:t>
      </w:r>
      <w:r w:rsidR="00B838DF" w:rsidRPr="00553477">
        <w:rPr>
          <w:rFonts w:eastAsia="Times New Roman"/>
          <w:lang w:val="uk-UA"/>
        </w:rPr>
        <w:t>е Положення</w:t>
      </w:r>
      <w:r w:rsidRPr="00553477">
        <w:rPr>
          <w:rFonts w:eastAsia="Times New Roman"/>
          <w:lang w:val="uk-UA"/>
        </w:rPr>
        <w:t xml:space="preserve"> буде діяти лише в тій частині, яка не суперечитиме чинному законодавству України або нормативно-правовим актам відповідних регуляторів.</w:t>
      </w:r>
    </w:p>
    <w:p w:rsidR="004757DA" w:rsidRPr="0020420D" w:rsidRDefault="004757DA" w:rsidP="00BF7DEA">
      <w:pPr>
        <w:pStyle w:val="a7"/>
        <w:spacing w:before="0" w:line="276" w:lineRule="auto"/>
        <w:ind w:left="709"/>
        <w:jc w:val="both"/>
        <w:rPr>
          <w:lang w:val="uk-UA"/>
        </w:rPr>
      </w:pPr>
      <w:bookmarkStart w:id="11" w:name="_GoBack"/>
      <w:bookmarkEnd w:id="11"/>
    </w:p>
    <w:sectPr w:rsidR="004757DA" w:rsidRPr="0020420D" w:rsidSect="00553477">
      <w:pgSz w:w="11906" w:h="16838"/>
      <w:pgMar w:top="1134" w:right="850" w:bottom="284" w:left="1276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C69" w:rsidRDefault="006F3C69" w:rsidP="00D354EB">
      <w:pPr>
        <w:spacing w:before="0"/>
      </w:pPr>
      <w:r>
        <w:separator/>
      </w:r>
    </w:p>
  </w:endnote>
  <w:endnote w:type="continuationSeparator" w:id="0">
    <w:p w:rsidR="006F3C69" w:rsidRDefault="006F3C69" w:rsidP="00D354E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9D6" w:rsidRDefault="00D979D6">
    <w:pPr>
      <w:pStyle w:val="a5"/>
      <w:jc w:val="right"/>
    </w:pPr>
    <w:proofErr w:type="spellStart"/>
    <w:r>
      <w:rPr>
        <w:lang w:val="uk-UA"/>
      </w:rPr>
      <w:t>Стор</w:t>
    </w:r>
    <w:proofErr w:type="spellEnd"/>
    <w:r>
      <w:rPr>
        <w:lang w:val="uk-UA"/>
      </w:rPr>
      <w:t xml:space="preserve">. </w:t>
    </w:r>
    <w:r w:rsidR="007776AE">
      <w:rPr>
        <w:rStyle w:val="aa"/>
      </w:rPr>
      <w:fldChar w:fldCharType="begin"/>
    </w:r>
    <w:r>
      <w:rPr>
        <w:rStyle w:val="aa"/>
      </w:rPr>
      <w:instrText xml:space="preserve"> PAGE </w:instrText>
    </w:r>
    <w:r w:rsidR="007776AE">
      <w:rPr>
        <w:rStyle w:val="aa"/>
      </w:rPr>
      <w:fldChar w:fldCharType="separate"/>
    </w:r>
    <w:r w:rsidR="00553477">
      <w:rPr>
        <w:rStyle w:val="aa"/>
        <w:noProof/>
      </w:rPr>
      <w:t>5</w:t>
    </w:r>
    <w:r w:rsidR="007776AE">
      <w:rPr>
        <w:rStyle w:val="aa"/>
      </w:rPr>
      <w:fldChar w:fldCharType="end"/>
    </w:r>
  </w:p>
  <w:p w:rsidR="00D979D6" w:rsidRDefault="00D979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9D6" w:rsidRPr="003A19B5" w:rsidRDefault="00D979D6" w:rsidP="00753EEF">
    <w:pPr>
      <w:pStyle w:val="a5"/>
      <w:jc w:val="center"/>
      <w:rPr>
        <w:lang w:val="uk-UA"/>
      </w:rPr>
    </w:pPr>
    <w:r>
      <w:rPr>
        <w:lang w:val="uk-UA"/>
      </w:rPr>
      <w:t>Київ - 20</w:t>
    </w:r>
    <w:r w:rsidR="00553A72">
      <w:rPr>
        <w:lang w:val="uk-UA"/>
      </w:rPr>
      <w:t>2</w:t>
    </w:r>
    <w:r w:rsidR="003A19B5">
      <w:rPr>
        <w:lang w:val="uk-UA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C69" w:rsidRDefault="006F3C69" w:rsidP="00D354EB">
      <w:pPr>
        <w:spacing w:before="0"/>
      </w:pPr>
      <w:r>
        <w:separator/>
      </w:r>
    </w:p>
  </w:footnote>
  <w:footnote w:type="continuationSeparator" w:id="0">
    <w:p w:rsidR="006F3C69" w:rsidRDefault="006F3C69" w:rsidP="00D354E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9D6" w:rsidRPr="009C67C6" w:rsidRDefault="009D6483" w:rsidP="00AB4A94">
    <w:pPr>
      <w:pStyle w:val="a3"/>
      <w:rPr>
        <w:i/>
        <w:smallCaps/>
        <w:color w:val="7A7A7A"/>
        <w:lang w:val="uk-UA"/>
      </w:rPr>
    </w:pPr>
    <w:r>
      <w:rPr>
        <w:i/>
        <w:smallCaps/>
        <w:color w:val="7A7A7A"/>
        <w:lang w:val="uk-UA"/>
      </w:rPr>
      <w:t>Положення про винагороду членів Правління та ключових осіб</w:t>
    </w:r>
    <w:r w:rsidR="00D979D6" w:rsidRPr="00C11EDE">
      <w:rPr>
        <w:i/>
        <w:smallCaps/>
        <w:color w:val="7A7A7A"/>
        <w:lang w:val="uk-UA"/>
      </w:rPr>
      <w:t xml:space="preserve"> </w:t>
    </w:r>
    <w:r w:rsidR="00D979D6" w:rsidRPr="009C67C6">
      <w:rPr>
        <w:i/>
        <w:smallCaps/>
        <w:color w:val="7A7A7A"/>
        <w:lang w:val="uk-UA"/>
      </w:rPr>
      <w:t>//</w:t>
    </w:r>
    <w:r w:rsidR="002B0397">
      <w:rPr>
        <w:i/>
        <w:smallCaps/>
        <w:color w:val="7A7A7A"/>
        <w:lang w:val="uk-UA"/>
      </w:rPr>
      <w:t xml:space="preserve"> </w:t>
    </w:r>
    <w:r w:rsidR="00D979D6" w:rsidRPr="009C67C6">
      <w:rPr>
        <w:i/>
        <w:smallCaps/>
        <w:color w:val="7A7A7A"/>
        <w:lang w:val="uk-UA"/>
      </w:rPr>
      <w:t xml:space="preserve"> </w:t>
    </w:r>
    <w:r w:rsidR="00D979D6" w:rsidRPr="00772E64">
      <w:rPr>
        <w:i/>
        <w:smallCaps/>
        <w:color w:val="7A7A7A"/>
        <w:lang w:val="uk-UA"/>
      </w:rPr>
      <w:t>ПрАТ «СГУ»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5A6C"/>
    <w:multiLevelType w:val="multilevel"/>
    <w:tmpl w:val="62D4B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" w15:restartNumberingAfterBreak="0">
    <w:nsid w:val="10B0524F"/>
    <w:multiLevelType w:val="multilevel"/>
    <w:tmpl w:val="07689BF0"/>
    <w:lvl w:ilvl="0">
      <w:start w:val="1"/>
      <w:numFmt w:val="decimal"/>
      <w:lvlText w:val="Розділ 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34749DF"/>
    <w:multiLevelType w:val="singleLevel"/>
    <w:tmpl w:val="6AD83B2E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4263A6C"/>
    <w:multiLevelType w:val="multilevel"/>
    <w:tmpl w:val="E242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2E9D"/>
    <w:multiLevelType w:val="singleLevel"/>
    <w:tmpl w:val="152C9C3A"/>
    <w:lvl w:ilvl="0">
      <w:start w:val="3"/>
      <w:numFmt w:val="decimal"/>
      <w:lvlText w:val="4.1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EE46F5"/>
    <w:multiLevelType w:val="hybridMultilevel"/>
    <w:tmpl w:val="1E982AE6"/>
    <w:lvl w:ilvl="0" w:tplc="FBF0DD94">
      <w:start w:val="1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713501C"/>
    <w:multiLevelType w:val="hybridMultilevel"/>
    <w:tmpl w:val="553896BE"/>
    <w:lvl w:ilvl="0" w:tplc="ACA6E52C">
      <w:start w:val="1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EC5143"/>
    <w:multiLevelType w:val="multilevel"/>
    <w:tmpl w:val="CD223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9E6EE8"/>
    <w:multiLevelType w:val="multilevel"/>
    <w:tmpl w:val="1D686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F3A0E68"/>
    <w:multiLevelType w:val="multilevel"/>
    <w:tmpl w:val="C8EEFE00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0" w15:restartNumberingAfterBreak="0">
    <w:nsid w:val="3C164644"/>
    <w:multiLevelType w:val="singleLevel"/>
    <w:tmpl w:val="B8B8FBB0"/>
    <w:lvl w:ilvl="0">
      <w:start w:val="1"/>
      <w:numFmt w:val="decimal"/>
      <w:lvlText w:val="4.1.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E49795B"/>
    <w:multiLevelType w:val="multilevel"/>
    <w:tmpl w:val="07689BF0"/>
    <w:lvl w:ilvl="0">
      <w:start w:val="1"/>
      <w:numFmt w:val="decimal"/>
      <w:lvlText w:val="Розділ %1."/>
      <w:lvlJc w:val="left"/>
      <w:pPr>
        <w:ind w:left="2771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203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363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13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4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14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5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15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731" w:hanging="1440"/>
      </w:pPr>
      <w:rPr>
        <w:rFonts w:cs="Times New Roman"/>
      </w:rPr>
    </w:lvl>
  </w:abstractNum>
  <w:abstractNum w:abstractNumId="12" w15:restartNumberingAfterBreak="0">
    <w:nsid w:val="573C6045"/>
    <w:multiLevelType w:val="hybridMultilevel"/>
    <w:tmpl w:val="1E68CD12"/>
    <w:lvl w:ilvl="0" w:tplc="876E091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B292D"/>
    <w:multiLevelType w:val="singleLevel"/>
    <w:tmpl w:val="AF3661DA"/>
    <w:lvl w:ilvl="0">
      <w:start w:val="4"/>
      <w:numFmt w:val="decimal"/>
      <w:lvlText w:val="2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5E13244"/>
    <w:multiLevelType w:val="multilevel"/>
    <w:tmpl w:val="07689BF0"/>
    <w:lvl w:ilvl="0">
      <w:start w:val="1"/>
      <w:numFmt w:val="decimal"/>
      <w:lvlText w:val="Розділ 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8723281"/>
    <w:multiLevelType w:val="multilevel"/>
    <w:tmpl w:val="903A6C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752222"/>
    <w:multiLevelType w:val="singleLevel"/>
    <w:tmpl w:val="7A08EA1C"/>
    <w:lvl w:ilvl="0">
      <w:start w:val="2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2"/>
  </w:num>
  <w:num w:numId="5">
    <w:abstractNumId w:val="13"/>
  </w:num>
  <w:num w:numId="6">
    <w:abstractNumId w:val="10"/>
  </w:num>
  <w:num w:numId="7">
    <w:abstractNumId w:val="4"/>
  </w:num>
  <w:num w:numId="8">
    <w:abstractNumId w:val="16"/>
  </w:num>
  <w:num w:numId="9">
    <w:abstractNumId w:val="9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83"/>
    <w:rsid w:val="00001355"/>
    <w:rsid w:val="00003A33"/>
    <w:rsid w:val="00006AA1"/>
    <w:rsid w:val="00011CE4"/>
    <w:rsid w:val="00015728"/>
    <w:rsid w:val="00021EF6"/>
    <w:rsid w:val="00034BD2"/>
    <w:rsid w:val="00034EB0"/>
    <w:rsid w:val="000521CD"/>
    <w:rsid w:val="00061BCA"/>
    <w:rsid w:val="00062931"/>
    <w:rsid w:val="000703A8"/>
    <w:rsid w:val="00075D0A"/>
    <w:rsid w:val="00081013"/>
    <w:rsid w:val="0008330F"/>
    <w:rsid w:val="00083B59"/>
    <w:rsid w:val="000856E4"/>
    <w:rsid w:val="000921A2"/>
    <w:rsid w:val="00095811"/>
    <w:rsid w:val="0009774A"/>
    <w:rsid w:val="000A5FDE"/>
    <w:rsid w:val="000C5C4F"/>
    <w:rsid w:val="000D5969"/>
    <w:rsid w:val="000E0FF9"/>
    <w:rsid w:val="000E49CD"/>
    <w:rsid w:val="000E6C15"/>
    <w:rsid w:val="000E76A2"/>
    <w:rsid w:val="000F47DF"/>
    <w:rsid w:val="00101AEA"/>
    <w:rsid w:val="00102D48"/>
    <w:rsid w:val="00112D7C"/>
    <w:rsid w:val="00116B4C"/>
    <w:rsid w:val="001403A6"/>
    <w:rsid w:val="00143D24"/>
    <w:rsid w:val="0014664E"/>
    <w:rsid w:val="0016662F"/>
    <w:rsid w:val="00166B8A"/>
    <w:rsid w:val="0017452D"/>
    <w:rsid w:val="00174FA0"/>
    <w:rsid w:val="00185584"/>
    <w:rsid w:val="001A5369"/>
    <w:rsid w:val="001B1FAF"/>
    <w:rsid w:val="001B2B7F"/>
    <w:rsid w:val="001B7997"/>
    <w:rsid w:val="001C2E66"/>
    <w:rsid w:val="001C7EDC"/>
    <w:rsid w:val="001D1824"/>
    <w:rsid w:val="001E516D"/>
    <w:rsid w:val="001F597C"/>
    <w:rsid w:val="0020420D"/>
    <w:rsid w:val="00204892"/>
    <w:rsid w:val="00206B76"/>
    <w:rsid w:val="00211CF1"/>
    <w:rsid w:val="002122DB"/>
    <w:rsid w:val="00223591"/>
    <w:rsid w:val="00226941"/>
    <w:rsid w:val="002352FA"/>
    <w:rsid w:val="00246A04"/>
    <w:rsid w:val="002471C9"/>
    <w:rsid w:val="002473E8"/>
    <w:rsid w:val="00250051"/>
    <w:rsid w:val="00255F3E"/>
    <w:rsid w:val="00260437"/>
    <w:rsid w:val="0026748D"/>
    <w:rsid w:val="00271483"/>
    <w:rsid w:val="00272293"/>
    <w:rsid w:val="00281319"/>
    <w:rsid w:val="00292887"/>
    <w:rsid w:val="002939E4"/>
    <w:rsid w:val="00294CBF"/>
    <w:rsid w:val="00295698"/>
    <w:rsid w:val="00296F91"/>
    <w:rsid w:val="002A3D27"/>
    <w:rsid w:val="002B0397"/>
    <w:rsid w:val="002B1906"/>
    <w:rsid w:val="002B3627"/>
    <w:rsid w:val="002B4466"/>
    <w:rsid w:val="002B7E65"/>
    <w:rsid w:val="002C126D"/>
    <w:rsid w:val="002C341C"/>
    <w:rsid w:val="002C4B4A"/>
    <w:rsid w:val="002C4E7C"/>
    <w:rsid w:val="002D537A"/>
    <w:rsid w:val="002D5DE1"/>
    <w:rsid w:val="002E677A"/>
    <w:rsid w:val="002F640D"/>
    <w:rsid w:val="002F6AB7"/>
    <w:rsid w:val="00300CCC"/>
    <w:rsid w:val="00301AEA"/>
    <w:rsid w:val="00301C2F"/>
    <w:rsid w:val="003035D5"/>
    <w:rsid w:val="00305A19"/>
    <w:rsid w:val="0030639C"/>
    <w:rsid w:val="00314973"/>
    <w:rsid w:val="00317FF9"/>
    <w:rsid w:val="00330742"/>
    <w:rsid w:val="0033612B"/>
    <w:rsid w:val="003403A9"/>
    <w:rsid w:val="00351805"/>
    <w:rsid w:val="00353EB1"/>
    <w:rsid w:val="00354218"/>
    <w:rsid w:val="003551D0"/>
    <w:rsid w:val="0036798F"/>
    <w:rsid w:val="00367CE2"/>
    <w:rsid w:val="003726E1"/>
    <w:rsid w:val="00387525"/>
    <w:rsid w:val="00387C32"/>
    <w:rsid w:val="003941D6"/>
    <w:rsid w:val="0039707E"/>
    <w:rsid w:val="003A1794"/>
    <w:rsid w:val="003A19B5"/>
    <w:rsid w:val="003B0531"/>
    <w:rsid w:val="003B5A36"/>
    <w:rsid w:val="003B5D92"/>
    <w:rsid w:val="003B6E37"/>
    <w:rsid w:val="003C74F6"/>
    <w:rsid w:val="003D3939"/>
    <w:rsid w:val="003D67B4"/>
    <w:rsid w:val="003D67B7"/>
    <w:rsid w:val="003E2BAF"/>
    <w:rsid w:val="003E42C4"/>
    <w:rsid w:val="003E4887"/>
    <w:rsid w:val="00400B29"/>
    <w:rsid w:val="00402068"/>
    <w:rsid w:val="004020E4"/>
    <w:rsid w:val="00402BE2"/>
    <w:rsid w:val="00405C18"/>
    <w:rsid w:val="004070EE"/>
    <w:rsid w:val="004139F0"/>
    <w:rsid w:val="00413D15"/>
    <w:rsid w:val="00422D4C"/>
    <w:rsid w:val="00423EC7"/>
    <w:rsid w:val="004314B5"/>
    <w:rsid w:val="00436C77"/>
    <w:rsid w:val="00441EC7"/>
    <w:rsid w:val="004446E4"/>
    <w:rsid w:val="00444F3D"/>
    <w:rsid w:val="00456CC7"/>
    <w:rsid w:val="00457C5F"/>
    <w:rsid w:val="0046379B"/>
    <w:rsid w:val="00467974"/>
    <w:rsid w:val="00473ACA"/>
    <w:rsid w:val="004757DA"/>
    <w:rsid w:val="00477F8D"/>
    <w:rsid w:val="00486EB4"/>
    <w:rsid w:val="004874E4"/>
    <w:rsid w:val="0048760B"/>
    <w:rsid w:val="00487EBF"/>
    <w:rsid w:val="0049409C"/>
    <w:rsid w:val="00496D45"/>
    <w:rsid w:val="004A1599"/>
    <w:rsid w:val="004A2C2A"/>
    <w:rsid w:val="004C4A13"/>
    <w:rsid w:val="004C7012"/>
    <w:rsid w:val="004C7665"/>
    <w:rsid w:val="004D2B0D"/>
    <w:rsid w:val="004E6748"/>
    <w:rsid w:val="004E6989"/>
    <w:rsid w:val="004F5436"/>
    <w:rsid w:val="004F590F"/>
    <w:rsid w:val="00501769"/>
    <w:rsid w:val="005025B6"/>
    <w:rsid w:val="00502CBF"/>
    <w:rsid w:val="00503648"/>
    <w:rsid w:val="005103AD"/>
    <w:rsid w:val="00511B6C"/>
    <w:rsid w:val="00513148"/>
    <w:rsid w:val="005132AD"/>
    <w:rsid w:val="005137DC"/>
    <w:rsid w:val="005176BF"/>
    <w:rsid w:val="00537F57"/>
    <w:rsid w:val="005433B9"/>
    <w:rsid w:val="00553477"/>
    <w:rsid w:val="00553715"/>
    <w:rsid w:val="00553A72"/>
    <w:rsid w:val="005562B0"/>
    <w:rsid w:val="005622C2"/>
    <w:rsid w:val="00567AC9"/>
    <w:rsid w:val="00576172"/>
    <w:rsid w:val="005817EC"/>
    <w:rsid w:val="00581969"/>
    <w:rsid w:val="00593F39"/>
    <w:rsid w:val="00597F04"/>
    <w:rsid w:val="005A0C09"/>
    <w:rsid w:val="005A6357"/>
    <w:rsid w:val="005B396F"/>
    <w:rsid w:val="005B6671"/>
    <w:rsid w:val="005C30FD"/>
    <w:rsid w:val="005D291F"/>
    <w:rsid w:val="005D3D06"/>
    <w:rsid w:val="005E4503"/>
    <w:rsid w:val="005E450F"/>
    <w:rsid w:val="005E7344"/>
    <w:rsid w:val="005E7A6D"/>
    <w:rsid w:val="005F0BCA"/>
    <w:rsid w:val="005F1A83"/>
    <w:rsid w:val="005F5094"/>
    <w:rsid w:val="006001D5"/>
    <w:rsid w:val="00601C4B"/>
    <w:rsid w:val="00605E5F"/>
    <w:rsid w:val="00612D0D"/>
    <w:rsid w:val="00613D31"/>
    <w:rsid w:val="0062331F"/>
    <w:rsid w:val="006233C4"/>
    <w:rsid w:val="00624FE0"/>
    <w:rsid w:val="00640D38"/>
    <w:rsid w:val="00645A53"/>
    <w:rsid w:val="006514D6"/>
    <w:rsid w:val="00657233"/>
    <w:rsid w:val="00660F58"/>
    <w:rsid w:val="0066768E"/>
    <w:rsid w:val="00667F9E"/>
    <w:rsid w:val="00682A14"/>
    <w:rsid w:val="00683532"/>
    <w:rsid w:val="0068459C"/>
    <w:rsid w:val="00690371"/>
    <w:rsid w:val="00690CA6"/>
    <w:rsid w:val="0069699B"/>
    <w:rsid w:val="006A264C"/>
    <w:rsid w:val="006A39AB"/>
    <w:rsid w:val="006C612F"/>
    <w:rsid w:val="006D1396"/>
    <w:rsid w:val="006D5291"/>
    <w:rsid w:val="006D5627"/>
    <w:rsid w:val="006E1C5B"/>
    <w:rsid w:val="006E3C12"/>
    <w:rsid w:val="006F2CAC"/>
    <w:rsid w:val="006F3C69"/>
    <w:rsid w:val="006F4C86"/>
    <w:rsid w:val="006F51F1"/>
    <w:rsid w:val="00705BE6"/>
    <w:rsid w:val="00715461"/>
    <w:rsid w:val="00715E88"/>
    <w:rsid w:val="007172D3"/>
    <w:rsid w:val="00734065"/>
    <w:rsid w:val="007359AC"/>
    <w:rsid w:val="00741CE3"/>
    <w:rsid w:val="00743710"/>
    <w:rsid w:val="007445DC"/>
    <w:rsid w:val="00746F28"/>
    <w:rsid w:val="00750262"/>
    <w:rsid w:val="00753EEF"/>
    <w:rsid w:val="00754C5E"/>
    <w:rsid w:val="00763115"/>
    <w:rsid w:val="00765445"/>
    <w:rsid w:val="00765F7F"/>
    <w:rsid w:val="00772E64"/>
    <w:rsid w:val="007776AE"/>
    <w:rsid w:val="00782DEF"/>
    <w:rsid w:val="00794C29"/>
    <w:rsid w:val="007A263A"/>
    <w:rsid w:val="007A42DA"/>
    <w:rsid w:val="007A45E9"/>
    <w:rsid w:val="007A6392"/>
    <w:rsid w:val="007B74E6"/>
    <w:rsid w:val="007B7CFC"/>
    <w:rsid w:val="007C195A"/>
    <w:rsid w:val="007D5F42"/>
    <w:rsid w:val="007D7512"/>
    <w:rsid w:val="007E0917"/>
    <w:rsid w:val="007E14D2"/>
    <w:rsid w:val="007E2F33"/>
    <w:rsid w:val="007E31B8"/>
    <w:rsid w:val="007F6BE6"/>
    <w:rsid w:val="00802017"/>
    <w:rsid w:val="00803FF1"/>
    <w:rsid w:val="008072AF"/>
    <w:rsid w:val="00812BEF"/>
    <w:rsid w:val="00816AC7"/>
    <w:rsid w:val="00821552"/>
    <w:rsid w:val="00822990"/>
    <w:rsid w:val="00823336"/>
    <w:rsid w:val="00824507"/>
    <w:rsid w:val="00831DDB"/>
    <w:rsid w:val="00840B81"/>
    <w:rsid w:val="00840BC6"/>
    <w:rsid w:val="0085183A"/>
    <w:rsid w:val="0085201F"/>
    <w:rsid w:val="008539AE"/>
    <w:rsid w:val="00857368"/>
    <w:rsid w:val="00861A2D"/>
    <w:rsid w:val="00863105"/>
    <w:rsid w:val="00864673"/>
    <w:rsid w:val="00884E7E"/>
    <w:rsid w:val="00890F47"/>
    <w:rsid w:val="0089188E"/>
    <w:rsid w:val="0089341A"/>
    <w:rsid w:val="00896B4B"/>
    <w:rsid w:val="008A2C20"/>
    <w:rsid w:val="008B04E9"/>
    <w:rsid w:val="008B4296"/>
    <w:rsid w:val="008B52A2"/>
    <w:rsid w:val="008B6E59"/>
    <w:rsid w:val="008C6D6D"/>
    <w:rsid w:val="008C7E3E"/>
    <w:rsid w:val="008D2D0C"/>
    <w:rsid w:val="008D42C8"/>
    <w:rsid w:val="008D7F99"/>
    <w:rsid w:val="008E188B"/>
    <w:rsid w:val="008E441D"/>
    <w:rsid w:val="008E444B"/>
    <w:rsid w:val="008E5B28"/>
    <w:rsid w:val="008F3D75"/>
    <w:rsid w:val="009069BF"/>
    <w:rsid w:val="00907246"/>
    <w:rsid w:val="00914DBA"/>
    <w:rsid w:val="009177BB"/>
    <w:rsid w:val="009222E4"/>
    <w:rsid w:val="00933FAF"/>
    <w:rsid w:val="00942E5F"/>
    <w:rsid w:val="00950301"/>
    <w:rsid w:val="0095362C"/>
    <w:rsid w:val="00956234"/>
    <w:rsid w:val="00956A4D"/>
    <w:rsid w:val="00957217"/>
    <w:rsid w:val="00967AE4"/>
    <w:rsid w:val="00972449"/>
    <w:rsid w:val="009736C6"/>
    <w:rsid w:val="00974532"/>
    <w:rsid w:val="00975702"/>
    <w:rsid w:val="00975D52"/>
    <w:rsid w:val="0098448E"/>
    <w:rsid w:val="00985F31"/>
    <w:rsid w:val="009955A1"/>
    <w:rsid w:val="0099736F"/>
    <w:rsid w:val="009973B5"/>
    <w:rsid w:val="009A62C9"/>
    <w:rsid w:val="009B2885"/>
    <w:rsid w:val="009C4FEF"/>
    <w:rsid w:val="009C67C6"/>
    <w:rsid w:val="009D0D86"/>
    <w:rsid w:val="009D37B2"/>
    <w:rsid w:val="009D4293"/>
    <w:rsid w:val="009D48FF"/>
    <w:rsid w:val="009D6483"/>
    <w:rsid w:val="009D6E7A"/>
    <w:rsid w:val="009E2032"/>
    <w:rsid w:val="009E4072"/>
    <w:rsid w:val="009F3D9B"/>
    <w:rsid w:val="009F45D1"/>
    <w:rsid w:val="00A03646"/>
    <w:rsid w:val="00A06152"/>
    <w:rsid w:val="00A06467"/>
    <w:rsid w:val="00A20834"/>
    <w:rsid w:val="00A210D1"/>
    <w:rsid w:val="00A21370"/>
    <w:rsid w:val="00A23FF8"/>
    <w:rsid w:val="00A350D2"/>
    <w:rsid w:val="00A424ED"/>
    <w:rsid w:val="00A54B56"/>
    <w:rsid w:val="00A55BA0"/>
    <w:rsid w:val="00A57A00"/>
    <w:rsid w:val="00A61C8D"/>
    <w:rsid w:val="00A62C19"/>
    <w:rsid w:val="00A67CA1"/>
    <w:rsid w:val="00A7408C"/>
    <w:rsid w:val="00A834EF"/>
    <w:rsid w:val="00A8416C"/>
    <w:rsid w:val="00A90EC1"/>
    <w:rsid w:val="00A90F1C"/>
    <w:rsid w:val="00A92F2E"/>
    <w:rsid w:val="00A95CE8"/>
    <w:rsid w:val="00A97CBB"/>
    <w:rsid w:val="00AA38AE"/>
    <w:rsid w:val="00AA52F8"/>
    <w:rsid w:val="00AB4A94"/>
    <w:rsid w:val="00AB6DBE"/>
    <w:rsid w:val="00AB73AE"/>
    <w:rsid w:val="00AC5E4E"/>
    <w:rsid w:val="00AD515A"/>
    <w:rsid w:val="00AE521D"/>
    <w:rsid w:val="00AF595C"/>
    <w:rsid w:val="00AF630E"/>
    <w:rsid w:val="00AF7490"/>
    <w:rsid w:val="00B01328"/>
    <w:rsid w:val="00B0558F"/>
    <w:rsid w:val="00B059BE"/>
    <w:rsid w:val="00B1764F"/>
    <w:rsid w:val="00B2181F"/>
    <w:rsid w:val="00B2560B"/>
    <w:rsid w:val="00B2572B"/>
    <w:rsid w:val="00B33C0D"/>
    <w:rsid w:val="00B3458B"/>
    <w:rsid w:val="00B34D5D"/>
    <w:rsid w:val="00B3507B"/>
    <w:rsid w:val="00B36EA3"/>
    <w:rsid w:val="00B37165"/>
    <w:rsid w:val="00B42DB5"/>
    <w:rsid w:val="00B51080"/>
    <w:rsid w:val="00B55CF7"/>
    <w:rsid w:val="00B6008A"/>
    <w:rsid w:val="00B617A8"/>
    <w:rsid w:val="00B61B68"/>
    <w:rsid w:val="00B6515F"/>
    <w:rsid w:val="00B67CC6"/>
    <w:rsid w:val="00B74878"/>
    <w:rsid w:val="00B74952"/>
    <w:rsid w:val="00B75739"/>
    <w:rsid w:val="00B838DF"/>
    <w:rsid w:val="00B83DE1"/>
    <w:rsid w:val="00B83ECA"/>
    <w:rsid w:val="00B90363"/>
    <w:rsid w:val="00BC027D"/>
    <w:rsid w:val="00BC27AF"/>
    <w:rsid w:val="00BC4339"/>
    <w:rsid w:val="00BC7B86"/>
    <w:rsid w:val="00BD29B1"/>
    <w:rsid w:val="00BD3EDC"/>
    <w:rsid w:val="00BD3FBD"/>
    <w:rsid w:val="00BE0064"/>
    <w:rsid w:val="00BE54F8"/>
    <w:rsid w:val="00BE56C3"/>
    <w:rsid w:val="00BE60BE"/>
    <w:rsid w:val="00BF2D4B"/>
    <w:rsid w:val="00BF7DEA"/>
    <w:rsid w:val="00BF7ED1"/>
    <w:rsid w:val="00C04B8F"/>
    <w:rsid w:val="00C06998"/>
    <w:rsid w:val="00C074CD"/>
    <w:rsid w:val="00C0785E"/>
    <w:rsid w:val="00C11C32"/>
    <w:rsid w:val="00C11EDE"/>
    <w:rsid w:val="00C13F11"/>
    <w:rsid w:val="00C15764"/>
    <w:rsid w:val="00C221AE"/>
    <w:rsid w:val="00C25E17"/>
    <w:rsid w:val="00C33895"/>
    <w:rsid w:val="00C37632"/>
    <w:rsid w:val="00C47A89"/>
    <w:rsid w:val="00C524F5"/>
    <w:rsid w:val="00C561A9"/>
    <w:rsid w:val="00C57521"/>
    <w:rsid w:val="00C65EAF"/>
    <w:rsid w:val="00C70010"/>
    <w:rsid w:val="00C713E3"/>
    <w:rsid w:val="00C76D03"/>
    <w:rsid w:val="00C8102C"/>
    <w:rsid w:val="00C90037"/>
    <w:rsid w:val="00CA4CC7"/>
    <w:rsid w:val="00CA774C"/>
    <w:rsid w:val="00CA77A4"/>
    <w:rsid w:val="00CB00AF"/>
    <w:rsid w:val="00CB4228"/>
    <w:rsid w:val="00CB7880"/>
    <w:rsid w:val="00CC78A5"/>
    <w:rsid w:val="00CD2B41"/>
    <w:rsid w:val="00CE2AB1"/>
    <w:rsid w:val="00CF01D4"/>
    <w:rsid w:val="00CF32C0"/>
    <w:rsid w:val="00D00BCE"/>
    <w:rsid w:val="00D036C6"/>
    <w:rsid w:val="00D13400"/>
    <w:rsid w:val="00D13AC3"/>
    <w:rsid w:val="00D13E19"/>
    <w:rsid w:val="00D16327"/>
    <w:rsid w:val="00D22610"/>
    <w:rsid w:val="00D228AF"/>
    <w:rsid w:val="00D25A74"/>
    <w:rsid w:val="00D32557"/>
    <w:rsid w:val="00D32F67"/>
    <w:rsid w:val="00D354EB"/>
    <w:rsid w:val="00D4409F"/>
    <w:rsid w:val="00D44B6A"/>
    <w:rsid w:val="00D47DF3"/>
    <w:rsid w:val="00D53310"/>
    <w:rsid w:val="00D55571"/>
    <w:rsid w:val="00D5693B"/>
    <w:rsid w:val="00D5765E"/>
    <w:rsid w:val="00D60422"/>
    <w:rsid w:val="00D612E9"/>
    <w:rsid w:val="00D61FB2"/>
    <w:rsid w:val="00D64133"/>
    <w:rsid w:val="00D76D3D"/>
    <w:rsid w:val="00D81146"/>
    <w:rsid w:val="00D901CD"/>
    <w:rsid w:val="00D913AB"/>
    <w:rsid w:val="00D95BAB"/>
    <w:rsid w:val="00D963F6"/>
    <w:rsid w:val="00D979D6"/>
    <w:rsid w:val="00DA2429"/>
    <w:rsid w:val="00DA4CED"/>
    <w:rsid w:val="00DB051F"/>
    <w:rsid w:val="00DB7476"/>
    <w:rsid w:val="00DB7D73"/>
    <w:rsid w:val="00DC0073"/>
    <w:rsid w:val="00DC1F6B"/>
    <w:rsid w:val="00DD4A76"/>
    <w:rsid w:val="00DD66B4"/>
    <w:rsid w:val="00DE4D58"/>
    <w:rsid w:val="00DE60C2"/>
    <w:rsid w:val="00DE632B"/>
    <w:rsid w:val="00DF27B6"/>
    <w:rsid w:val="00DF6F38"/>
    <w:rsid w:val="00E000B5"/>
    <w:rsid w:val="00E005A6"/>
    <w:rsid w:val="00E017FD"/>
    <w:rsid w:val="00E027A6"/>
    <w:rsid w:val="00E05843"/>
    <w:rsid w:val="00E07578"/>
    <w:rsid w:val="00E0784E"/>
    <w:rsid w:val="00E1746D"/>
    <w:rsid w:val="00E204F8"/>
    <w:rsid w:val="00E31041"/>
    <w:rsid w:val="00E31FC8"/>
    <w:rsid w:val="00E4079F"/>
    <w:rsid w:val="00E50FBA"/>
    <w:rsid w:val="00E52E74"/>
    <w:rsid w:val="00E55BDC"/>
    <w:rsid w:val="00E61F77"/>
    <w:rsid w:val="00E65B28"/>
    <w:rsid w:val="00E67676"/>
    <w:rsid w:val="00E77472"/>
    <w:rsid w:val="00E84378"/>
    <w:rsid w:val="00E84B8E"/>
    <w:rsid w:val="00E93F74"/>
    <w:rsid w:val="00EA1CC3"/>
    <w:rsid w:val="00EA7709"/>
    <w:rsid w:val="00EB59C3"/>
    <w:rsid w:val="00EB6CD7"/>
    <w:rsid w:val="00EC584A"/>
    <w:rsid w:val="00EC5F00"/>
    <w:rsid w:val="00EC61B9"/>
    <w:rsid w:val="00EC63AF"/>
    <w:rsid w:val="00ED0184"/>
    <w:rsid w:val="00EE19FA"/>
    <w:rsid w:val="00EE4C0E"/>
    <w:rsid w:val="00EE509F"/>
    <w:rsid w:val="00EE5851"/>
    <w:rsid w:val="00EE5D90"/>
    <w:rsid w:val="00EE7DB1"/>
    <w:rsid w:val="00EF71EF"/>
    <w:rsid w:val="00F03835"/>
    <w:rsid w:val="00F0427F"/>
    <w:rsid w:val="00F0606A"/>
    <w:rsid w:val="00F06A8F"/>
    <w:rsid w:val="00F10F75"/>
    <w:rsid w:val="00F119B1"/>
    <w:rsid w:val="00F16131"/>
    <w:rsid w:val="00F20CB6"/>
    <w:rsid w:val="00F2325D"/>
    <w:rsid w:val="00F30CF2"/>
    <w:rsid w:val="00F4560D"/>
    <w:rsid w:val="00F46993"/>
    <w:rsid w:val="00F527B3"/>
    <w:rsid w:val="00F52F7D"/>
    <w:rsid w:val="00F53AC2"/>
    <w:rsid w:val="00F644D6"/>
    <w:rsid w:val="00F75E62"/>
    <w:rsid w:val="00F857F9"/>
    <w:rsid w:val="00F85A3F"/>
    <w:rsid w:val="00F911BA"/>
    <w:rsid w:val="00F936EE"/>
    <w:rsid w:val="00F9783E"/>
    <w:rsid w:val="00FA4F78"/>
    <w:rsid w:val="00FB3034"/>
    <w:rsid w:val="00FC2657"/>
    <w:rsid w:val="00FC407B"/>
    <w:rsid w:val="00FC5C08"/>
    <w:rsid w:val="00FD7D4D"/>
    <w:rsid w:val="00FE4A8C"/>
    <w:rsid w:val="00FE6357"/>
    <w:rsid w:val="00FE655E"/>
    <w:rsid w:val="00FE7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AC155E9-2036-8B4E-B890-DC91209D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C2"/>
    <w:pPr>
      <w:spacing w:before="12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54EB"/>
    <w:pPr>
      <w:tabs>
        <w:tab w:val="center" w:pos="4677"/>
        <w:tab w:val="right" w:pos="9355"/>
      </w:tabs>
      <w:spacing w:before="0"/>
    </w:pPr>
    <w:rPr>
      <w:sz w:val="20"/>
      <w:szCs w:val="20"/>
      <w:lang w:eastAsia="ru-RU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D354EB"/>
    <w:rPr>
      <w:rFonts w:cs="Times New Roman"/>
    </w:rPr>
  </w:style>
  <w:style w:type="paragraph" w:styleId="a5">
    <w:name w:val="footer"/>
    <w:basedOn w:val="a"/>
    <w:link w:val="a6"/>
    <w:uiPriority w:val="99"/>
    <w:rsid w:val="00D354EB"/>
    <w:pPr>
      <w:tabs>
        <w:tab w:val="center" w:pos="4677"/>
        <w:tab w:val="right" w:pos="9355"/>
      </w:tabs>
      <w:spacing w:before="0"/>
    </w:pPr>
    <w:rPr>
      <w:sz w:val="20"/>
      <w:szCs w:val="20"/>
      <w:lang w:eastAsia="ru-RU"/>
    </w:rPr>
  </w:style>
  <w:style w:type="character" w:customStyle="1" w:styleId="a6">
    <w:name w:val="Нижній колонтитул Знак"/>
    <w:basedOn w:val="a0"/>
    <w:link w:val="a5"/>
    <w:uiPriority w:val="99"/>
    <w:locked/>
    <w:rsid w:val="00D354EB"/>
    <w:rPr>
      <w:rFonts w:cs="Times New Roman"/>
    </w:rPr>
  </w:style>
  <w:style w:type="paragraph" w:styleId="a7">
    <w:name w:val="List Paragraph"/>
    <w:basedOn w:val="a"/>
    <w:uiPriority w:val="99"/>
    <w:qFormat/>
    <w:rsid w:val="00861A2D"/>
    <w:pPr>
      <w:ind w:left="720"/>
      <w:contextualSpacing/>
    </w:pPr>
  </w:style>
  <w:style w:type="paragraph" w:styleId="a8">
    <w:name w:val="Body Text Indent"/>
    <w:basedOn w:val="a"/>
    <w:link w:val="a9"/>
    <w:uiPriority w:val="99"/>
    <w:rsid w:val="00593F39"/>
    <w:pPr>
      <w:spacing w:before="0" w:line="220" w:lineRule="auto"/>
      <w:ind w:left="4560"/>
    </w:pPr>
    <w:rPr>
      <w:rFonts w:eastAsia="Times New Roman"/>
      <w:b/>
      <w:color w:val="000000"/>
      <w:sz w:val="20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uiPriority w:val="99"/>
    <w:locked/>
    <w:rsid w:val="00593F39"/>
    <w:rPr>
      <w:rFonts w:eastAsia="Times New Roman" w:cs="Times New Roman"/>
      <w:b/>
      <w:color w:val="000000"/>
      <w:sz w:val="20"/>
      <w:lang w:eastAsia="ru-RU"/>
    </w:rPr>
  </w:style>
  <w:style w:type="character" w:styleId="aa">
    <w:name w:val="page number"/>
    <w:basedOn w:val="a0"/>
    <w:uiPriority w:val="99"/>
    <w:rsid w:val="00593F39"/>
    <w:rPr>
      <w:rFonts w:cs="Times New Roman"/>
    </w:rPr>
  </w:style>
  <w:style w:type="paragraph" w:styleId="ab">
    <w:name w:val="Body Text"/>
    <w:basedOn w:val="a"/>
    <w:link w:val="ac"/>
    <w:uiPriority w:val="99"/>
    <w:rsid w:val="00593F39"/>
    <w:pPr>
      <w:spacing w:before="200" w:line="220" w:lineRule="auto"/>
      <w:jc w:val="both"/>
    </w:pPr>
    <w:rPr>
      <w:rFonts w:eastAsia="Times New Roman"/>
      <w:sz w:val="20"/>
      <w:szCs w:val="20"/>
      <w:lang w:val="uk-UA" w:eastAsia="ru-RU"/>
    </w:rPr>
  </w:style>
  <w:style w:type="character" w:customStyle="1" w:styleId="ac">
    <w:name w:val="Основний текст Знак"/>
    <w:basedOn w:val="a0"/>
    <w:link w:val="ab"/>
    <w:uiPriority w:val="99"/>
    <w:locked/>
    <w:rsid w:val="00593F39"/>
    <w:rPr>
      <w:rFonts w:eastAsia="Times New Roman" w:cs="Times New Roman"/>
      <w:sz w:val="20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715461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715461"/>
    <w:rPr>
      <w:rFonts w:ascii="Tahoma" w:hAnsi="Tahoma" w:cs="Tahoma"/>
      <w:sz w:val="16"/>
      <w:szCs w:val="16"/>
      <w:lang w:eastAsia="en-US"/>
    </w:rPr>
  </w:style>
  <w:style w:type="paragraph" w:customStyle="1" w:styleId="af">
    <w:name w:val="ДинТекстОбыч"/>
    <w:basedOn w:val="a"/>
    <w:rsid w:val="00DE632B"/>
    <w:pPr>
      <w:widowControl w:val="0"/>
      <w:suppressAutoHyphens/>
      <w:spacing w:before="0"/>
      <w:ind w:firstLine="708"/>
      <w:jc w:val="both"/>
    </w:pPr>
    <w:rPr>
      <w:rFonts w:eastAsia="Times New Roman" w:cs="Calibri"/>
      <w:color w:val="000000"/>
      <w:lang w:val="uk-UA" w:eastAsia="ar-SA"/>
    </w:rPr>
  </w:style>
  <w:style w:type="character" w:customStyle="1" w:styleId="spanrvts0">
    <w:name w:val="span_rvts0"/>
    <w:basedOn w:val="a0"/>
    <w:rsid w:val="00567AC9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B6008A"/>
    <w:pPr>
      <w:spacing w:before="0"/>
      <w:ind w:firstLine="450"/>
      <w:jc w:val="both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1600</Words>
  <Characters>11008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SPecialiST RePack</Company>
  <LinksUpToDate>false</LinksUpToDate>
  <CharactersWithSpaces>12583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Anna Gnyp</dc:creator>
  <cp:keywords/>
  <dc:description/>
  <cp:lastModifiedBy>Саша Покропивный</cp:lastModifiedBy>
  <cp:revision>13</cp:revision>
  <cp:lastPrinted>2022-09-12T11:29:00Z</cp:lastPrinted>
  <dcterms:created xsi:type="dcterms:W3CDTF">2024-05-20T16:03:00Z</dcterms:created>
  <dcterms:modified xsi:type="dcterms:W3CDTF">2024-06-03T09:51:00Z</dcterms:modified>
</cp:coreProperties>
</file>